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Нові нормативно-правові акти та зміни в законодавстві, на які варто зважати замовнику у 2023 році</w:t>
      </w:r>
    </w:p>
    <w:tbl>
      <w:tblPr>
        <w:tblStyle w:val="Table1"/>
        <w:tblW w:w="10170.0" w:type="dxa"/>
        <w:jc w:val="left"/>
        <w:tblInd w:w="-717.0" w:type="dxa"/>
        <w:tblBorders>
          <w:top w:color="000000" w:space="0" w:sz="6" w:val="single"/>
          <w:left w:color="000000" w:space="0" w:sz="6" w:val="single"/>
          <w:bottom w:color="000000" w:space="0" w:sz="6" w:val="single"/>
          <w:right w:color="000000" w:space="0" w:sz="6" w:val="single"/>
        </w:tblBorders>
        <w:tblLayout w:type="fixed"/>
        <w:tblLook w:val="0400"/>
      </w:tblPr>
      <w:tblGrid>
        <w:gridCol w:w="1702"/>
        <w:gridCol w:w="5678"/>
        <w:gridCol w:w="2790"/>
        <w:tblGridChange w:id="0">
          <w:tblGrid>
            <w:gridCol w:w="1702"/>
            <w:gridCol w:w="5678"/>
            <w:gridCol w:w="279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2">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Дата</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3">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Суть змін</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4">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Підстава</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5">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Березень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8">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9">
            <w:pPr>
              <w:spacing w:line="259"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ГК «Нафтогаз Трейдинг» постачатиме природний газ за фіксованими цінами до 30 квітня 2023-го</w:t>
            </w:r>
          </w:p>
          <w:p w:rsidR="00000000" w:rsidDel="00000000" w:rsidP="00000000" w:rsidRDefault="00000000" w:rsidRPr="00000000" w14:paraId="0000000A">
            <w:pPr>
              <w:spacing w:line="259"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line="259"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ГК «Нафтогаз Трейдинг» продовжить постачати за особливими умовами природний газ до 30 квітня 2023 року (включно):</w:t>
            </w:r>
          </w:p>
          <w:p w:rsidR="00000000" w:rsidDel="00000000" w:rsidP="00000000" w:rsidRDefault="00000000" w:rsidRPr="00000000" w14:paraId="000000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виробникам теплової енергії за фіксованими цінами;</w:t>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бюджетним установам на умовах договору постачання, укладеного до 31.12.2022, за ціною 16 390 грн (з ПДВ);</w:t>
            </w:r>
          </w:p>
          <w:p w:rsidR="00000000" w:rsidDel="00000000" w:rsidP="00000000" w:rsidRDefault="00000000" w:rsidRPr="00000000" w14:paraId="0000000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підприємствам, установам, організаціям, на балансі яких перебувають гуртожитки (та/або інші житлові будівлі, у яких постійно або тимчасово проживають побутові споживачі), за ціною 7420 грн (з ПДВ)</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0F">
            <w:pPr>
              <w:spacing w:line="259" w:lineRule="auto"/>
              <w:jc w:val="cente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 xml:space="preserve">Постанова КМУ «Про внесення змін до постанови Кабінету Міністрів України від 19 липня 2022 р. № 812» від 30.03.2023 № 277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1">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КМУ призначив Державний науково-дослідний інститут технологій кібербезпеки та захисту інформації організатором експертизи Національної програми інформатизації</w:t>
            </w:r>
          </w:p>
          <w:p w:rsidR="00000000" w:rsidDel="00000000" w:rsidP="00000000" w:rsidRDefault="00000000" w:rsidRPr="00000000" w14:paraId="00000012">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Нагадуємо: коли замовники виконують завдання (проєкти) Національної програми інформатизації, то спершу погоджують їх з генеральним державним замовником. Відповідно до </w:t>
            </w:r>
            <w:hyperlink r:id="rId7">
              <w:r w:rsidDel="00000000" w:rsidR="00000000" w:rsidRPr="00000000">
                <w:rPr>
                  <w:rFonts w:ascii="Times New Roman" w:cs="Times New Roman" w:eastAsia="Times New Roman" w:hAnsi="Times New Roman"/>
                  <w:sz w:val="24"/>
                  <w:szCs w:val="24"/>
                  <w:rtl w:val="0"/>
                </w:rPr>
                <w:t xml:space="preserve">статті 9 Закону України «Про Національну програму інформатизації»</w:t>
              </w:r>
            </w:hyperlink>
            <w:r w:rsidDel="00000000" w:rsidR="00000000" w:rsidRPr="00000000">
              <w:rPr>
                <w:rFonts w:ascii="Times New Roman" w:cs="Times New Roman" w:eastAsia="Times New Roman" w:hAnsi="Times New Roman"/>
                <w:sz w:val="24"/>
                <w:szCs w:val="24"/>
                <w:rtl w:val="0"/>
              </w:rPr>
              <w:t xml:space="preserve"> організатора експертизи Національної програми інформатизації визначає КМУ за пропозицією генерального замовника</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3">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Розпорядження КМУ «Про визначення організатора експертизи Національної програми інформатизації» від 28.03.2023 № 261-р</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5">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Спецобов’язки для окремих учасників ринку електроенергії діятимуть до 30 квітня 2023 року</w:t>
            </w:r>
          </w:p>
          <w:p w:rsidR="00000000" w:rsidDel="00000000" w:rsidP="00000000" w:rsidRDefault="00000000" w:rsidRPr="00000000" w14:paraId="00000016">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Фіксовані ціни на електричну енергію, яку придбавають у постачальників універсальних послуг побутові споживачі, діятимуть по 30 квітня 2023 року включно. Протягом цього строку не підвищуватиметься ціна на електроенергію для індивідуальних та колективних побутових споживачів, а також гуртожитків</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7">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постанови Кабінету Міністрів України від 5 червня 2019 р. № 483» від 24.03.2023 № 262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9">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Мінекономіки є секторальним органом в сфері захисту критичної інфраструктури</w:t>
            </w:r>
          </w:p>
          <w:p w:rsidR="00000000" w:rsidDel="00000000" w:rsidP="00000000" w:rsidRDefault="00000000" w:rsidRPr="00000000" w14:paraId="0000001A">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основних завдань Мінекономіки з-поміж іншого тепер належить забезпечення формування та реалізація державної політики у сфері захисту критичної інфраструктури у секторі критичної інфраструктури, за який відповідальне Міністерство як секторальний орган у сфері захисту критичної інфраструктури</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B">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Положення про Міністерство економіки України» від 21.03.2023 № 251</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1D">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Банки зобов’язали розкривати інформацію щодо зв’язків клієнтів із рф</w:t>
            </w:r>
          </w:p>
          <w:p w:rsidR="00000000" w:rsidDel="00000000" w:rsidP="00000000" w:rsidRDefault="00000000" w:rsidRPr="00000000" w14:paraId="0000001E">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НБУ зобов’язав банки під час своєї діяльності виявляти та документувати інформацію про зв’язки клієнтів та їх контрагентів із державою, що здійснює збройну агресію проти України.</w:t>
            </w:r>
          </w:p>
          <w:p w:rsidR="00000000" w:rsidDel="00000000" w:rsidP="00000000" w:rsidRDefault="00000000" w:rsidRPr="00000000" w14:paraId="0000001F">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НБУ визначив категорії клієнтів, щодо яких банк зобов’язаний виявляти та документувати таку інформацію, та обсяг відповідної інформації за кожною категорією</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20">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Постанова НБУ </w:t>
            </w:r>
            <w:r w:rsidDel="00000000" w:rsidR="00000000" w:rsidRPr="00000000">
              <w:rPr>
                <w:rFonts w:ascii="Times New Roman" w:cs="Times New Roman" w:eastAsia="Times New Roman" w:hAnsi="Times New Roman"/>
                <w:b w:val="1"/>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Про розкриття інформації щодо звʼязків клієнтів із державою, що здійснює збройну агресію проти України</w:t>
            </w:r>
            <w:r w:rsidDel="00000000" w:rsidR="00000000" w:rsidRPr="00000000">
              <w:rPr>
                <w:rFonts w:ascii="Times New Roman" w:cs="Times New Roman" w:eastAsia="Times New Roman" w:hAnsi="Times New Roman"/>
                <w:b w:val="1"/>
                <w:color w:val="222222"/>
                <w:sz w:val="24"/>
                <w:szCs w:val="24"/>
                <w:highlight w:val="white"/>
                <w:rtl w:val="0"/>
              </w:rPr>
              <w:t xml:space="preserve">»</w:t>
            </w:r>
            <w:r w:rsidDel="00000000" w:rsidR="00000000" w:rsidRPr="00000000">
              <w:rPr>
                <w:rFonts w:ascii="Times New Roman" w:cs="Times New Roman" w:eastAsia="Times New Roman" w:hAnsi="Times New Roman"/>
                <w:sz w:val="24"/>
                <w:szCs w:val="24"/>
                <w:highlight w:val="white"/>
                <w:rtl w:val="0"/>
              </w:rPr>
              <w:t xml:space="preserve"> від 16.03.2023 № 26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2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22">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КМУ доповнив перелік першочергових видатків за Постановою № 590</w:t>
            </w:r>
          </w:p>
          <w:p w:rsidR="00000000" w:rsidDel="00000000" w:rsidP="00000000" w:rsidRDefault="00000000" w:rsidRPr="00000000" w14:paraId="00000023">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 переліку першочергових видатків, які Казначейство проводить в особливому режимі в умовах воєнного стану, включили видатки </w:t>
            </w:r>
            <w:r w:rsidDel="00000000" w:rsidR="00000000" w:rsidRPr="00000000">
              <w:rPr>
                <w:rFonts w:ascii="Times New Roman" w:cs="Times New Roman" w:eastAsia="Times New Roman" w:hAnsi="Times New Roman"/>
                <w:color w:val="222222"/>
                <w:sz w:val="24"/>
                <w:szCs w:val="24"/>
                <w:highlight w:val="white"/>
                <w:rtl w:val="0"/>
              </w:rPr>
              <w:t xml:space="preserve">задля підтримки внутрішньо переміщених осіб, які постраждалих від росії, зокрема:</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придбання гігієнічних засобів і товарів першої необхідності (одяг, взуття, м’який інвентар) для підопічних інтернатних установ системи соціального захисту населення;  </w:t>
            </w:r>
          </w:p>
          <w:p w:rsidR="00000000" w:rsidDel="00000000" w:rsidP="00000000" w:rsidRDefault="00000000" w:rsidRPr="00000000" w14:paraId="000000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у закладах соціального захисту населення пожежної сигналізації, системи блискавкозахисту, обробка дерев’яних конструкцій приміщень вогнезахисним розчином;  </w:t>
            </w:r>
          </w:p>
          <w:p w:rsidR="00000000" w:rsidDel="00000000" w:rsidP="00000000" w:rsidRDefault="00000000" w:rsidRPr="00000000" w14:paraId="000000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ffffff" w:val="clear"/>
              <w:spacing w:after="160" w:before="0" w:line="240" w:lineRule="auto"/>
              <w:ind w:left="108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медичних оглядів.  </w:t>
            </w:r>
          </w:p>
          <w:p w:rsidR="00000000" w:rsidDel="00000000" w:rsidP="00000000" w:rsidRDefault="00000000" w:rsidRPr="00000000" w14:paraId="00000027">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Перелік доповнили й іншими видатками </w:t>
            </w:r>
            <w:r w:rsidDel="00000000" w:rsidR="00000000" w:rsidRPr="00000000">
              <w:rPr>
                <w:rFonts w:ascii="Times New Roman" w:cs="Times New Roman" w:eastAsia="Times New Roman" w:hAnsi="Times New Roman"/>
                <w:color w:val="222222"/>
                <w:sz w:val="24"/>
                <w:szCs w:val="24"/>
                <w:highlight w:val="white"/>
                <w:rtl w:val="0"/>
              </w:rPr>
              <w:t xml:space="preserve">загального і спеціального фондів державного та місцевих бюджетів</w:t>
            </w:r>
            <w:r w:rsidDel="00000000" w:rsidR="00000000" w:rsidRPr="00000000">
              <w:rPr>
                <w:rtl w:val="0"/>
              </w:rPr>
            </w:r>
          </w:p>
        </w:tc>
        <w:tc>
          <w:tcPr>
            <w:vMerge w:val="restart"/>
            <w:tcBorders>
              <w:top w:color="000000" w:space="0" w:sz="6" w:val="single"/>
              <w:left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28">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Постанова КМУ «</w:t>
            </w:r>
            <w:r w:rsidDel="00000000" w:rsidR="00000000" w:rsidRPr="00000000">
              <w:rPr>
                <w:rFonts w:ascii="ProbaPro" w:cs="ProbaPro" w:eastAsia="ProbaPro" w:hAnsi="ProbaPro"/>
                <w:color w:val="333333"/>
                <w:sz w:val="24"/>
                <w:szCs w:val="24"/>
                <w:highlight w:val="white"/>
                <w:rtl w:val="0"/>
              </w:rPr>
              <w:t xml:space="preserve">Про внесення змін до Порядку виконання повноважень Державною казначейською службою в особливому режимі в умовах воєнного стану»</w:t>
            </w:r>
            <w:r w:rsidDel="00000000" w:rsidR="00000000" w:rsidRPr="00000000">
              <w:rPr>
                <w:rFonts w:ascii="Times New Roman" w:cs="Times New Roman" w:eastAsia="Times New Roman" w:hAnsi="Times New Roman"/>
                <w:sz w:val="24"/>
                <w:szCs w:val="24"/>
                <w:rtl w:val="0"/>
              </w:rPr>
              <w:t xml:space="preserve"> від 14.03.2023 № 230</w:t>
            </w:r>
          </w:p>
          <w:p w:rsidR="00000000" w:rsidDel="00000000" w:rsidP="00000000" w:rsidRDefault="00000000" w:rsidRPr="00000000" w14:paraId="00000029">
            <w:pPr>
              <w:spacing w:line="259" w:lineRule="auto"/>
              <w:jc w:val="center"/>
              <w:rPr>
                <w:rFonts w:ascii="Times New Roman" w:cs="Times New Roman" w:eastAsia="Times New Roman" w:hAnsi="Times New Roman"/>
                <w:sz w:val="24"/>
                <w:szCs w:val="24"/>
                <w:highlight w:val="whit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2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2B">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КМУ доповнив особливості складання та подання звітності в особливому режимі</w:t>
            </w:r>
          </w:p>
          <w:p w:rsidR="00000000" w:rsidDel="00000000" w:rsidP="00000000" w:rsidRDefault="00000000" w:rsidRPr="00000000" w14:paraId="0000002C">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розпорядник/одержувач бюджетних коштів, що розташований на території, на якій ведуться (велися) бойові дії або тимчасово окупованій, не може подати звітність до органів Казначейства, за нього це має зробити розпорядник вищого рівня. Він:</w:t>
            </w:r>
          </w:p>
          <w:p w:rsidR="00000000" w:rsidDel="00000000" w:rsidP="00000000" w:rsidRDefault="00000000" w:rsidRPr="00000000" w14:paraId="0000002D">
            <w:pPr>
              <w:numPr>
                <w:ilvl w:val="0"/>
                <w:numId w:val="12"/>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вносить в автоматизовану систему подання електронної звітності наявні показники бюджетної звітності такого розпорядника/одержувача, які він подав за попередній звітний період. У такому разі він ураховує інформацію про проведені операції за звітний період, відображену в бухобліку органів Казначейства на звітну дату, та включає їх до зведеної бюджетної звітності;</w:t>
            </w:r>
          </w:p>
          <w:p w:rsidR="00000000" w:rsidDel="00000000" w:rsidP="00000000" w:rsidRDefault="00000000" w:rsidRPr="00000000" w14:paraId="0000002E">
            <w:pPr>
              <w:numPr>
                <w:ilvl w:val="0"/>
                <w:numId w:val="12"/>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включає до консолідованої фінзвітності показники фінансової звітності таких розпорядників бюджетних коштів, яка була подана ними за попередній звітний період.</w:t>
            </w:r>
          </w:p>
          <w:p w:rsidR="00000000" w:rsidDel="00000000" w:rsidP="00000000" w:rsidRDefault="00000000" w:rsidRPr="00000000" w14:paraId="0000002F">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Якщо головний розпорядник, розпорядник (одержувач) бюджетних коштів місцевих бюджетів, що розташовані на територіях, на яких ведуться (велися) бойові дії або тимчасово окупованих (далі — розпорядник), не може подати бюджетної звітності до органів Казначейства, то вони до бюджетної звітності про виконання місцевих бюджетів включають показники звітних даних такого розпорядника за попередній звітний період, які відсутні на дату складання звітності в органах Казначейства</w:t>
            </w:r>
            <w:r w:rsidDel="00000000" w:rsidR="00000000" w:rsidRPr="00000000">
              <w:rPr>
                <w:rtl w:val="0"/>
              </w:rPr>
            </w:r>
          </w:p>
        </w:tc>
        <w:tc>
          <w:tcPr>
            <w:vMerge w:val="continue"/>
            <w:tcBorders>
              <w:top w:color="000000" w:space="0" w:sz="6" w:val="single"/>
              <w:left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3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32">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Зміни у порядку місцевих запозичень та надання місцевих гарантій</w:t>
            </w:r>
          </w:p>
          <w:p w:rsidR="00000000" w:rsidDel="00000000" w:rsidP="00000000" w:rsidRDefault="00000000" w:rsidRPr="00000000" w14:paraId="00000033">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Мінфін погодив умови та обсяг запозичень до бюджету, надання місцевої гарантії за рішеннями обласних, міських рад. Зокрема, розширив поняття відсотків за користування запозиченням/кредитом/позикою, тепер воно включає:</w:t>
            </w:r>
          </w:p>
          <w:p w:rsidR="00000000" w:rsidDel="00000000" w:rsidP="00000000" w:rsidRDefault="00000000" w:rsidRPr="00000000" w14:paraId="00000034">
            <w:pPr>
              <w:numPr>
                <w:ilvl w:val="0"/>
                <w:numId w:val="8"/>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відсотки у разі прострочення/відстрочення виконання зобов’язання щодо повернення запозичення/кредиту/позики чи окремої його частини;</w:t>
            </w:r>
          </w:p>
          <w:p w:rsidR="00000000" w:rsidDel="00000000" w:rsidP="00000000" w:rsidRDefault="00000000" w:rsidRPr="00000000" w14:paraId="00000035">
            <w:pPr>
              <w:numPr>
                <w:ilvl w:val="0"/>
                <w:numId w:val="8"/>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розмір комісій, адміністративних платежів та інших платежів, які підлягають сплаті відповідно до умов кредитного договору/договору позики;</w:t>
            </w:r>
          </w:p>
          <w:p w:rsidR="00000000" w:rsidDel="00000000" w:rsidP="00000000" w:rsidRDefault="00000000" w:rsidRPr="00000000" w14:paraId="00000036">
            <w:pPr>
              <w:numPr>
                <w:ilvl w:val="0"/>
                <w:numId w:val="8"/>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розмір неустойки, штрафів, пені чи інших санкцій за порушення зобов’язань за запозиченням/кредитним договором/договором позики.</w:t>
            </w:r>
          </w:p>
          <w:p w:rsidR="00000000" w:rsidDel="00000000" w:rsidP="00000000" w:rsidRDefault="00000000" w:rsidRPr="00000000" w14:paraId="00000037">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Ці відомості слід включити до рішення про здійснення запозичення чи надання місцевої гарантії.</w:t>
            </w:r>
          </w:p>
          <w:p w:rsidR="00000000" w:rsidDel="00000000" w:rsidP="00000000" w:rsidRDefault="00000000" w:rsidRPr="00000000" w14:paraId="00000038">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Обласна/міська рада надсилає Мінфіну пакет документів на погодження запозичень/гарантій. До нього долучає електронний носій інформації з файлами цих документів у форматі pdf, xls, xlsx або надсилає ці файли в електронній формі.</w:t>
            </w:r>
          </w:p>
          <w:p w:rsidR="00000000" w:rsidDel="00000000" w:rsidP="00000000" w:rsidRDefault="00000000" w:rsidRPr="00000000" w14:paraId="00000039">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Якщо йдеться про декілька запозичень/гарантій, то за кожним із них потрібно подати окремий пакет документів (письмове повідомлення та додатки до нього).</w:t>
            </w:r>
          </w:p>
          <w:p w:rsidR="00000000" w:rsidDel="00000000" w:rsidP="00000000" w:rsidRDefault="00000000" w:rsidRPr="00000000" w14:paraId="0000003A">
            <w:pPr>
              <w:shd w:fill="ffffff" w:val="clear"/>
              <w:spacing w:after="16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Мінфін може надіслати зауваження до документів. У цьому разі обласна/міська рада має виправити документи упродовж 15 календарних днів. Інакше міністерство залишить звернення ради без розгляду</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3B">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w:t>
            </w:r>
            <w:r w:rsidDel="00000000" w:rsidR="00000000" w:rsidRPr="00000000">
              <w:rPr>
                <w:rFonts w:ascii="Times New Roman" w:cs="Times New Roman" w:eastAsia="Times New Roman" w:hAnsi="Times New Roman"/>
                <w:color w:val="333333"/>
                <w:sz w:val="24"/>
                <w:szCs w:val="24"/>
                <w:highlight w:val="white"/>
                <w:rtl w:val="0"/>
              </w:rPr>
              <w:t xml:space="preserve">Про внесення змін до порядків, затверджених постановами Кабінету Міністрів України від 16 лютого 2011 р. № 110 і від 14 травня 2012 р. № 541</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від 17.03.2023 № 234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3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3D">
            <w:pPr>
              <w:shd w:fill="ffffff" w:val="clear"/>
              <w:spacing w:after="160" w:line="240" w:lineRule="auto"/>
              <w:ind w:left="36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КМУ відніс окремі посади ОМС до відповідних категорій</w:t>
            </w:r>
          </w:p>
          <w:p w:rsidR="00000000" w:rsidDel="00000000" w:rsidP="00000000" w:rsidRDefault="00000000" w:rsidRPr="00000000" w14:paraId="0000003E">
            <w:pPr>
              <w:shd w:fill="ffffff" w:val="clear"/>
              <w:spacing w:after="160" w:line="240" w:lineRule="auto"/>
              <w:ind w:left="36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А саме:</w:t>
            </w:r>
            <w:r w:rsidDel="00000000" w:rsidR="00000000" w:rsidRPr="00000000">
              <w:rPr>
                <w:rtl w:val="0"/>
              </w:rPr>
            </w:r>
          </w:p>
          <w:p w:rsidR="00000000" w:rsidDel="00000000" w:rsidP="00000000" w:rsidRDefault="00000000" w:rsidRPr="00000000" w14:paraId="0000003F">
            <w:pPr>
              <w:numPr>
                <w:ilvl w:val="0"/>
                <w:numId w:val="6"/>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першого заступника селищного, сільського голови — до п’ятої категорії посад в ОМС;</w:t>
            </w:r>
          </w:p>
          <w:p w:rsidR="00000000" w:rsidDel="00000000" w:rsidP="00000000" w:rsidRDefault="00000000" w:rsidRPr="00000000" w14:paraId="00000040">
            <w:pPr>
              <w:numPr>
                <w:ilvl w:val="0"/>
                <w:numId w:val="6"/>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керівника департаменту, управління, відділу, іншого структурного підрозділу виконавчого комітету селищних, сільських рад — до шостої категорії посад ОМС;</w:t>
            </w:r>
          </w:p>
          <w:p w:rsidR="00000000" w:rsidDel="00000000" w:rsidP="00000000" w:rsidRDefault="00000000" w:rsidRPr="00000000" w14:paraId="00000041">
            <w:pPr>
              <w:numPr>
                <w:ilvl w:val="0"/>
                <w:numId w:val="6"/>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керівника департаменту, управління, відділу, іншого виконавчого органу селищних, сільських рад — до шостої категорії посад в ОМС;</w:t>
            </w:r>
          </w:p>
          <w:p w:rsidR="00000000" w:rsidDel="00000000" w:rsidP="00000000" w:rsidRDefault="00000000" w:rsidRPr="00000000" w14:paraId="00000042">
            <w:pPr>
              <w:numPr>
                <w:ilvl w:val="0"/>
                <w:numId w:val="6"/>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керівника управління, відділу, іншого структурного підрозділу у складі департаменту виконавчого органу (крім виконавчого комітету) селищних, сільських рад — до шостої категорії посад в ОМС;</w:t>
            </w:r>
          </w:p>
          <w:p w:rsidR="00000000" w:rsidDel="00000000" w:rsidP="00000000" w:rsidRDefault="00000000" w:rsidRPr="00000000" w14:paraId="00000043">
            <w:pPr>
              <w:numPr>
                <w:ilvl w:val="0"/>
                <w:numId w:val="6"/>
              </w:numPr>
              <w:shd w:fill="ffffff" w:val="clear"/>
              <w:spacing w:after="16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керівника відділу, іншого структурного підрозділу у складі управління виконавчого органу (крім виконавчого комітету) селищних, сільських рад — до шостої категорії посад в ОМС;</w:t>
            </w:r>
          </w:p>
          <w:p w:rsidR="00000000" w:rsidDel="00000000" w:rsidP="00000000" w:rsidRDefault="00000000" w:rsidRPr="00000000" w14:paraId="00000044">
            <w:pPr>
              <w:numPr>
                <w:ilvl w:val="0"/>
                <w:numId w:val="6"/>
              </w:numPr>
              <w:shd w:fill="ffffff" w:val="clear"/>
              <w:spacing w:after="160" w:line="240" w:lineRule="auto"/>
              <w:ind w:left="1080" w:hanging="36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керівника відділу, іншого структурного підрозділу управління у складі департаменту виконавчого органу (крім виконавчого комітету) селищних, сільських рад — до шостої категорії посад в ОМС.</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5">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Р</w:t>
            </w:r>
            <w:hyperlink r:id="rId8">
              <w:r w:rsidDel="00000000" w:rsidR="00000000" w:rsidRPr="00000000">
                <w:rPr>
                  <w:rFonts w:ascii="Times New Roman" w:cs="Times New Roman" w:eastAsia="Times New Roman" w:hAnsi="Times New Roman"/>
                  <w:sz w:val="24"/>
                  <w:szCs w:val="24"/>
                  <w:highlight w:val="white"/>
                  <w:rtl w:val="0"/>
                </w:rPr>
                <w:t xml:space="preserve">озпорядження КМУ</w:t>
              </w:r>
            </w:hyperlink>
            <w:hyperlink r:id="rId9">
              <w:r w:rsidDel="00000000" w:rsidR="00000000" w:rsidRPr="00000000">
                <w:rPr>
                  <w:rFonts w:ascii="Times New Roman" w:cs="Times New Roman" w:eastAsia="Times New Roman" w:hAnsi="Times New Roman"/>
                  <w:color w:val="ac213e"/>
                  <w:sz w:val="24"/>
                  <w:szCs w:val="24"/>
                  <w:highlight w:val="white"/>
                  <w:rtl w:val="0"/>
                </w:rPr>
                <w:t xml:space="preserve"> </w:t>
              </w:r>
            </w:hyperlink>
            <w:r w:rsidDel="00000000" w:rsidR="00000000" w:rsidRPr="00000000">
              <w:rPr>
                <w:rFonts w:ascii="Times New Roman" w:cs="Times New Roman" w:eastAsia="Times New Roman" w:hAnsi="Times New Roman"/>
                <w:color w:val="222222"/>
                <w:sz w:val="24"/>
                <w:szCs w:val="24"/>
                <w:highlight w:val="white"/>
                <w:rtl w:val="0"/>
              </w:rPr>
              <w:t xml:space="preserve">«Про віднесення посад в органах місцевого самоврядування до відповідних категорій посад в органах місцевого самоврядування»</w:t>
            </w:r>
            <w:hyperlink r:id="rId10">
              <w:r w:rsidDel="00000000" w:rsidR="00000000" w:rsidRPr="00000000">
                <w:rPr>
                  <w:rFonts w:ascii="Times New Roman" w:cs="Times New Roman" w:eastAsia="Times New Roman" w:hAnsi="Times New Roman"/>
                  <w:color w:val="ac213e"/>
                  <w:sz w:val="24"/>
                  <w:szCs w:val="24"/>
                  <w:highlight w:val="white"/>
                  <w:rtl w:val="0"/>
                </w:rPr>
                <w:t xml:space="preserve"> </w:t>
              </w:r>
            </w:hyperlink>
            <w:hyperlink r:id="rId11">
              <w:r w:rsidDel="00000000" w:rsidR="00000000" w:rsidRPr="00000000">
                <w:rPr>
                  <w:rFonts w:ascii="Times New Roman" w:cs="Times New Roman" w:eastAsia="Times New Roman" w:hAnsi="Times New Roman"/>
                  <w:sz w:val="24"/>
                  <w:szCs w:val="24"/>
                  <w:highlight w:val="white"/>
                  <w:rtl w:val="0"/>
                </w:rPr>
                <w:t xml:space="preserve">від 17.03.2023 № 229-р</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7">
            <w:pP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Зміни у Переліку територій, на яких ведуться бойові дії</w:t>
            </w:r>
          </w:p>
          <w:p w:rsidR="00000000" w:rsidDel="00000000" w:rsidP="00000000" w:rsidRDefault="00000000" w:rsidRPr="00000000" w14:paraId="00000048">
            <w:pP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Мінреінтеграції оновило Перелік територій, на яких ведуться (велися) бойові дії або тимчасово окупованих Російською Федерацією, затвердженого наказом від 22.12.2022 № 309.</w:t>
            </w:r>
          </w:p>
          <w:p w:rsidR="00000000" w:rsidDel="00000000" w:rsidP="00000000" w:rsidRDefault="00000000" w:rsidRPr="00000000" w14:paraId="00000049">
            <w:pP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Зокрема, статус Запорізького району змінили на територію можливих бойових дій. Це дало змогу відновити доступ до державних реєстрів</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A">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Мінреінтеграції «Про затвердження Змін до Переліку територій, на яких ведуться (велися) бойові дії або тимчасово окупованих Російською Федерацією» від 09.03.2023 № 84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01.03.2023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C">
            <w:pPr>
              <w:shd w:fill="ffffff" w:val="clear"/>
              <w:spacing w:after="160" w:line="24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Лікарні будуватимуть за новими ДБН</w:t>
            </w:r>
          </w:p>
          <w:p w:rsidR="00000000" w:rsidDel="00000000" w:rsidP="00000000" w:rsidRDefault="00000000" w:rsidRPr="00000000" w14:paraId="0000004D">
            <w:pPr>
              <w:shd w:fill="ffffff" w:val="clea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Зміни враховуватимуть як для будівництва нових лікарень, так і для реконструкції вже наявних медзакладів. Зміни також торкнуться проєктування відділень. Їх розташовуватимуть відповідно до того, наскільки вони взаємоповʼязані одне з одним. Окрім того, відділення невідкладної допомоги повністю адаптують до міжнародних норм планування відділень emergency</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E">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Мінрегіону «Про затвердження ДБН В.2.2-10:2022 «Заклади охорони здоровʼя. Основні положення» від 26.12.2022 № 278</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4F">
            <w:pPr>
              <w:spacing w:line="259" w:lineRule="auto"/>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Л</w:t>
            </w:r>
            <w:r w:rsidDel="00000000" w:rsidR="00000000" w:rsidRPr="00000000">
              <w:rPr>
                <w:rFonts w:ascii="Times New Roman" w:cs="Times New Roman" w:eastAsia="Times New Roman" w:hAnsi="Times New Roman"/>
                <w:b w:val="1"/>
                <w:sz w:val="24"/>
                <w:szCs w:val="24"/>
                <w:rtl w:val="0"/>
              </w:rPr>
              <w:t xml:space="preserve">ютий</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52">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53">
            <w:pP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Внесли зміни до постанови від 12.10.2022 № 1178 та Особливостей</w:t>
            </w:r>
          </w:p>
          <w:p w:rsidR="00000000" w:rsidDel="00000000" w:rsidP="00000000" w:rsidRDefault="00000000" w:rsidRPr="00000000" w14:paraId="00000054">
            <w:pPr>
              <w:shd w:fill="ffffff" w:val="clear"/>
              <w:spacing w:after="1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саме:</w:t>
            </w:r>
          </w:p>
          <w:p w:rsidR="00000000" w:rsidDel="00000000" w:rsidP="00000000" w:rsidRDefault="00000000" w:rsidRPr="00000000" w14:paraId="00000055">
            <w:pPr>
              <w:numPr>
                <w:ilvl w:val="0"/>
                <w:numId w:val="13"/>
              </w:numPr>
              <w:shd w:fill="ffffff" w:val="clea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відкоригували поняття про суб’єктів, до яких застосовують обмеження, пов’язані з участю в публічних закупівлях суб’єктів рф/рб та тих, до кого такі обмеження не застосовують, а саме громадяни рф/рб, які проживають на території України на законних підставах;</w:t>
            </w:r>
          </w:p>
          <w:p w:rsidR="00000000" w:rsidDel="00000000" w:rsidP="00000000" w:rsidRDefault="00000000" w:rsidRPr="00000000" w14:paraId="00000056">
            <w:pPr>
              <w:numPr>
                <w:ilvl w:val="0"/>
                <w:numId w:val="13"/>
              </w:numPr>
              <w:shd w:fill="ffffff" w:val="clea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змінили підстави для відмови в участі учаснику процедури закупівлі та відхилення тендерної пропозиції;</w:t>
            </w:r>
          </w:p>
          <w:p w:rsidR="00000000" w:rsidDel="00000000" w:rsidP="00000000" w:rsidRDefault="00000000" w:rsidRPr="00000000" w14:paraId="00000057">
            <w:pPr>
              <w:numPr>
                <w:ilvl w:val="0"/>
                <w:numId w:val="13"/>
              </w:numPr>
              <w:shd w:fill="ffffff" w:val="clea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оновили винятки за пунктом 13 Особливостей;</w:t>
            </w:r>
          </w:p>
          <w:p w:rsidR="00000000" w:rsidDel="00000000" w:rsidP="00000000" w:rsidRDefault="00000000" w:rsidRPr="00000000" w14:paraId="00000058">
            <w:pPr>
              <w:numPr>
                <w:ilvl w:val="0"/>
                <w:numId w:val="13"/>
              </w:numPr>
              <w:shd w:fill="ffffff" w:val="clear"/>
              <w:spacing w:after="16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змінили умови для внесення змін до істотних умов договору</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59">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Про внесення змін до постанови Кабінету Міністрів України від 12 жовтня 2022 р. № 1178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від 17.02.2023 № 157</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5A">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5B">
            <w:pPr>
              <w:shd w:fill="ffffff" w:val="clear"/>
              <w:spacing w:after="160" w:line="240"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КМУ оновив вимоги, яким повинні відповідати неавтоматичні зважувальні прилади та засоби вимірювальної техніки</w:t>
            </w:r>
          </w:p>
          <w:p w:rsidR="00000000" w:rsidDel="00000000" w:rsidP="00000000" w:rsidRDefault="00000000" w:rsidRPr="00000000" w14:paraId="0000005C">
            <w:pPr>
              <w:shd w:fill="ffffff" w:val="clear"/>
              <w:spacing w:after="240" w:before="24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Для цього зміни внесли до:</w:t>
            </w:r>
          </w:p>
          <w:p w:rsidR="00000000" w:rsidDel="00000000" w:rsidP="00000000" w:rsidRDefault="00000000" w:rsidRPr="00000000" w14:paraId="0000005D">
            <w:pPr>
              <w:numPr>
                <w:ilvl w:val="0"/>
                <w:numId w:val="9"/>
              </w:numPr>
              <w:shd w:fill="ffffff" w:val="clear"/>
              <w:spacing w:line="24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Технічного регламенту щодо неавтоматичних зважувальних приладів, затвердженого постановою КМУ від 16.12.2015 № 1062;</w:t>
            </w:r>
          </w:p>
          <w:p w:rsidR="00000000" w:rsidDel="00000000" w:rsidP="00000000" w:rsidRDefault="00000000" w:rsidRPr="00000000" w14:paraId="0000005E">
            <w:pPr>
              <w:numPr>
                <w:ilvl w:val="0"/>
                <w:numId w:val="9"/>
              </w:numPr>
              <w:shd w:fill="ffffff" w:val="clear"/>
              <w:spacing w:line="24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Технічного регламенту засобів вимірювальної техніки, затвердженого постановою КМУ від 24.02.2016 № 1</w:t>
            </w:r>
            <w:r w:rsidDel="00000000" w:rsidR="00000000" w:rsidRPr="00000000">
              <w:rPr>
                <w:rFonts w:ascii="Times New Roman" w:cs="Times New Roman" w:eastAsia="Times New Roman" w:hAnsi="Times New Roman"/>
                <w:sz w:val="24"/>
                <w:szCs w:val="24"/>
                <w:highlight w:val="white"/>
                <w:rtl w:val="0"/>
              </w:rPr>
              <w:t xml:space="preserve">63</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5F">
            <w:pPr>
              <w:shd w:fill="ffffff" w:val="clear"/>
              <w:spacing w:after="240" w:before="240" w:lin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Зокрема, оновили вимоги:</w:t>
            </w:r>
          </w:p>
          <w:p w:rsidR="00000000" w:rsidDel="00000000" w:rsidP="00000000" w:rsidRDefault="00000000" w:rsidRPr="00000000" w14:paraId="00000060">
            <w:pPr>
              <w:numPr>
                <w:ilvl w:val="0"/>
                <w:numId w:val="1"/>
              </w:numPr>
              <w:shd w:fill="ffffff" w:val="clear"/>
              <w:spacing w:line="24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 засобів вимірювальної техніки;</w:t>
            </w:r>
          </w:p>
          <w:p w:rsidR="00000000" w:rsidDel="00000000" w:rsidP="00000000" w:rsidRDefault="00000000" w:rsidRPr="00000000" w14:paraId="00000061">
            <w:pPr>
              <w:numPr>
                <w:ilvl w:val="0"/>
                <w:numId w:val="1"/>
              </w:numPr>
              <w:shd w:fill="ffffff" w:val="clear"/>
              <w:spacing w:line="24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 лічильників води;</w:t>
            </w:r>
          </w:p>
          <w:p w:rsidR="00000000" w:rsidDel="00000000" w:rsidP="00000000" w:rsidRDefault="00000000" w:rsidRPr="00000000" w14:paraId="00000062">
            <w:pPr>
              <w:numPr>
                <w:ilvl w:val="0"/>
                <w:numId w:val="1"/>
              </w:numPr>
              <w:shd w:fill="ffffff" w:val="clear"/>
              <w:spacing w:line="24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 лічильників активної електричної енергії</w:t>
            </w:r>
          </w:p>
          <w:p w:rsidR="00000000" w:rsidDel="00000000" w:rsidP="00000000" w:rsidRDefault="00000000" w:rsidRPr="00000000" w14:paraId="00000063">
            <w:pPr>
              <w:numPr>
                <w:ilvl w:val="0"/>
                <w:numId w:val="1"/>
              </w:numPr>
              <w:shd w:fill="ffffff" w:val="clear"/>
              <w:spacing w:line="240"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 вимірювальних систем для безперервного і динамічного вимірювання кількості рідин, крім води.</w:t>
            </w:r>
          </w:p>
          <w:p w:rsidR="00000000" w:rsidDel="00000000" w:rsidP="00000000" w:rsidRDefault="00000000" w:rsidRPr="00000000" w14:paraId="00000064">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Зміни наберуть чинності через шість місяців з дня опублікування</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65">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технічних регламентів, затверджених постановами Кабінету Міністрів України від 16 грудня 2015 р. № 1062 і від 24 лютого 2016 р. № 163» від 24.02.2023 № 160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66">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67">
            <w:pP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Мінфін відкоригував </w:t>
            </w:r>
            <w:hyperlink r:id="rId12">
              <w:r w:rsidDel="00000000" w:rsidR="00000000" w:rsidRPr="00000000">
                <w:rPr>
                  <w:rFonts w:ascii="Times New Roman" w:cs="Times New Roman" w:eastAsia="Times New Roman" w:hAnsi="Times New Roman"/>
                  <w:b w:val="1"/>
                  <w:color w:val="1d63cc"/>
                  <w:sz w:val="24"/>
                  <w:szCs w:val="24"/>
                  <w:highlight w:val="white"/>
                  <w:rtl w:val="0"/>
                </w:rPr>
                <w:t xml:space="preserve">Положення про документальне забезпечення записів у бухгалтерському обліку</w:t>
              </w:r>
            </w:hyperlink>
            <w:r w:rsidDel="00000000" w:rsidR="00000000" w:rsidRPr="00000000">
              <w:rPr>
                <w:rtl w:val="0"/>
              </w:rPr>
            </w:r>
          </w:p>
          <w:p w:rsidR="00000000" w:rsidDel="00000000" w:rsidP="00000000" w:rsidRDefault="00000000" w:rsidRPr="00000000" w14:paraId="00000068">
            <w:pPr>
              <w:shd w:fill="ffffff" w:val="clear"/>
              <w:spacing w:after="24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Змінами передбачили, що первинні електронні документи застосовують у бухобліку за наявності накладеного електронного підпису чи печатки.</w:t>
            </w:r>
          </w:p>
          <w:p w:rsidR="00000000" w:rsidDel="00000000" w:rsidP="00000000" w:rsidRDefault="00000000" w:rsidRPr="00000000" w14:paraId="00000069">
            <w:pPr>
              <w:shd w:fill="ffffff" w:val="clear"/>
              <w:spacing w:after="24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Якщо підприємство складає і зберігає первинні документи та регістри бухобліку за допомогою електронних засобів оброблення інформації, то на вимогу інших учасників госпоперацій та відповідних органів у межах їх законних повноважень воно зобов’язане за свій рахунок виготовити копії цих документів на паперових носіях.</w:t>
            </w:r>
          </w:p>
          <w:p w:rsidR="00000000" w:rsidDel="00000000" w:rsidP="00000000" w:rsidRDefault="00000000" w:rsidRPr="00000000" w14:paraId="0000006A">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Копії первинних документів і регістрів бухобліку можуть вилучити у підприємства лише за рішенням відповідних органів. Якщо контролери вилучають у підприємства документи, то зобов’язані скласти відповідний реєстр. Вилучати оригінали документів та регістрів заборонено, крім випадків, що передбачає кримінальне процесуальне законодавство</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6B">
            <w:pPr>
              <w:spacing w:line="259"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Н</w:t>
            </w:r>
            <w:hyperlink r:id="rId13">
              <w:r w:rsidDel="00000000" w:rsidR="00000000" w:rsidRPr="00000000">
                <w:rPr>
                  <w:rFonts w:ascii="Times New Roman" w:cs="Times New Roman" w:eastAsia="Times New Roman" w:hAnsi="Times New Roman"/>
                  <w:sz w:val="24"/>
                  <w:szCs w:val="24"/>
                  <w:highlight w:val="white"/>
                  <w:rtl w:val="0"/>
                </w:rPr>
                <w:t xml:space="preserve">аказ Мінфіну «Про затвердження Змін до Положення про документальне забезпечення записів у бухгалтерському обліку» від 28.12.2022 № 467</w:t>
              </w:r>
            </w:hyperlink>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6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6D">
            <w:pPr>
              <w:shd w:fill="ffffff" w:val="clear"/>
              <w:spacing w:after="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Мінреінтеграції визначило нові населені пункти, на яких ведуться бойові дії</w:t>
            </w:r>
            <w:r w:rsidDel="00000000" w:rsidR="00000000" w:rsidRPr="00000000">
              <w:rPr>
                <w:rtl w:val="0"/>
              </w:rPr>
            </w:r>
          </w:p>
          <w:p w:rsidR="00000000" w:rsidDel="00000000" w:rsidP="00000000" w:rsidRDefault="00000000" w:rsidRPr="00000000" w14:paraId="0000006E">
            <w:pPr>
              <w:shd w:fill="ffffff" w:val="clear"/>
              <w:spacing w:after="240" w:before="240" w:line="240" w:lineRule="auto"/>
              <w:rPr>
                <w:rFonts w:ascii="Times New Roman" w:cs="Times New Roman" w:eastAsia="Times New Roman" w:hAnsi="Times New Roman"/>
                <w:color w:val="1d63cc"/>
                <w:sz w:val="24"/>
                <w:szCs w:val="24"/>
              </w:rPr>
            </w:pPr>
            <w:r w:rsidDel="00000000" w:rsidR="00000000" w:rsidRPr="00000000">
              <w:rPr>
                <w:rFonts w:ascii="Times New Roman" w:cs="Times New Roman" w:eastAsia="Times New Roman" w:hAnsi="Times New Roman"/>
                <w:color w:val="222222"/>
                <w:sz w:val="24"/>
                <w:szCs w:val="24"/>
                <w:rtl w:val="0"/>
              </w:rPr>
              <w:t xml:space="preserve">Для цього міністерство внесло зміни до Переліку територій, на яких ведуться (велися) бойові дії або тимчасово окупованих рф, затвердженого наказом Мінреінтеграції від 22.12.2022 № 309.</w:t>
            </w:r>
            <w:r w:rsidDel="00000000" w:rsidR="00000000" w:rsidRPr="00000000">
              <w:rPr>
                <w:rtl w:val="0"/>
              </w:rPr>
            </w:r>
          </w:p>
          <w:p w:rsidR="00000000" w:rsidDel="00000000" w:rsidP="00000000" w:rsidRDefault="00000000" w:rsidRPr="00000000" w14:paraId="0000006F">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До територій можливих та активних бойових дій увійшли населені пункти в Дніпропетровській, Донецькій, Миколаївській, Сумській, Харківській, Херсонській, Чернігівській, Запорізькій і Луганській областях</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70">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Наказ Мінреінтеграції «Про затвердження Змін до Переліку територій, на яких ведуться (велися) бойові дії або тимчасово окупованих Російською Федерацією» від 20.02.2023 № 56</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71">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72">
            <w:pPr>
              <w:pStyle w:val="Heading1"/>
              <w:keepNext w:val="0"/>
              <w:keepLines w:val="0"/>
              <w:shd w:fill="ffffff" w:val="clear"/>
              <w:spacing w:after="300" w:before="460" w:line="300" w:lineRule="auto"/>
              <w:rPr>
                <w:rFonts w:ascii="Times New Roman" w:cs="Times New Roman" w:eastAsia="Times New Roman" w:hAnsi="Times New Roman"/>
                <w:b w:val="1"/>
                <w:color w:val="252525"/>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252525"/>
                <w:sz w:val="24"/>
                <w:szCs w:val="24"/>
                <w:rtl w:val="0"/>
              </w:rPr>
              <w:t xml:space="preserve">КМУ вніс зміни до порядку утримання фонду захисних споруд цивільного захисту</w:t>
            </w:r>
          </w:p>
          <w:p w:rsidR="00000000" w:rsidDel="00000000" w:rsidP="00000000" w:rsidRDefault="00000000" w:rsidRPr="00000000" w14:paraId="00000073">
            <w:pPr>
              <w:shd w:fill="ffffff" w:val="clear"/>
              <w:spacing w:after="24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Змін зазнала, зокрема, постанова КМУ «Деякі питання використання захисних споруд цивільного захисту» від 10.03.2017 № 138.</w:t>
            </w:r>
          </w:p>
          <w:p w:rsidR="00000000" w:rsidDel="00000000" w:rsidP="00000000" w:rsidRDefault="00000000" w:rsidRPr="00000000" w14:paraId="00000074">
            <w:pPr>
              <w:shd w:fill="ffffff" w:val="clear"/>
              <w:spacing w:after="240" w:before="240" w:line="24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 огляду на зміни балансоутримувачами захисних споруд вважатимуть власників, користувачів, юридичних осіб, на балансі яких перебувають захисні споруди (у тому числі споруди, що не увійшли до їх статутних капіталів у процесі приватизації (корпоратизації). Повноваження балансоутримувачів розширили.</w:t>
            </w:r>
          </w:p>
          <w:p w:rsidR="00000000" w:rsidDel="00000000" w:rsidP="00000000" w:rsidRDefault="00000000" w:rsidRPr="00000000" w14:paraId="00000075">
            <w:pPr>
              <w:shd w:fill="ffffff" w:val="clear"/>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Порядок створення, утримання фонду захисних споруд цивільного захисту, виключення таких споруд із фонду та ведення його обліку доповнили розділом, що визначає механізм виключення захисних споруд із фонду таких споруд</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76">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деяких постанов Кабінету Міністрів України з питань цивільного захисту» від 14.02.2023 № 134</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7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78">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КМУ встановив вимоги, які зобов’язані дотримувати суб’єкти містобудування, щоб забезпечити доступність і безпеку об’єктів для маломобільних груп населення</w:t>
            </w:r>
          </w:p>
          <w:p w:rsidR="00000000" w:rsidDel="00000000" w:rsidP="00000000" w:rsidRDefault="00000000" w:rsidRPr="00000000" w14:paraId="00000079">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Відтак суб’єкти містобудування під час проєктування, будівництва, відновлення пошкоджених об’єктів зобов’язані дотримувати вимог містобудівного законодавства, будівельних норм, нормативних документів, які обов’язково застосовувати відповідно до законодавства, щодо:</w:t>
            </w:r>
          </w:p>
          <w:p w:rsidR="00000000" w:rsidDel="00000000" w:rsidP="00000000" w:rsidRDefault="00000000" w:rsidRPr="00000000" w14:paraId="0000007A">
            <w:pPr>
              <w:numPr>
                <w:ilvl w:val="0"/>
                <w:numId w:val="11"/>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забезпечення доступності і безпеки об’єктів для маломобільних груп населення, у т. ч. осіб з інвалідністю;</w:t>
            </w:r>
          </w:p>
          <w:p w:rsidR="00000000" w:rsidDel="00000000" w:rsidP="00000000" w:rsidRDefault="00000000" w:rsidRPr="00000000" w14:paraId="0000007B">
            <w:pPr>
              <w:numPr>
                <w:ilvl w:val="0"/>
                <w:numId w:val="11"/>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енергоефективності;</w:t>
            </w:r>
          </w:p>
          <w:p w:rsidR="00000000" w:rsidDel="00000000" w:rsidP="00000000" w:rsidRDefault="00000000" w:rsidRPr="00000000" w14:paraId="0000007C">
            <w:pPr>
              <w:numPr>
                <w:ilvl w:val="0"/>
                <w:numId w:val="11"/>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укриття населення в об’єктах фонду захисних споруд цивільного захисту;</w:t>
            </w:r>
          </w:p>
          <w:p w:rsidR="00000000" w:rsidDel="00000000" w:rsidP="00000000" w:rsidRDefault="00000000" w:rsidRPr="00000000" w14:paraId="0000007D">
            <w:pPr>
              <w:numPr>
                <w:ilvl w:val="0"/>
                <w:numId w:val="11"/>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інженерно-технічних заходів цивільного захисту;</w:t>
            </w:r>
          </w:p>
          <w:p w:rsidR="00000000" w:rsidDel="00000000" w:rsidP="00000000" w:rsidRDefault="00000000" w:rsidRPr="00000000" w14:paraId="0000007E">
            <w:pPr>
              <w:numPr>
                <w:ilvl w:val="0"/>
                <w:numId w:val="11"/>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вимог пожежної та техногенної безпеки.</w:t>
            </w:r>
          </w:p>
          <w:p w:rsidR="00000000" w:rsidDel="00000000" w:rsidP="00000000" w:rsidRDefault="00000000" w:rsidRPr="00000000" w14:paraId="0000007F">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Якщо товари, у тому числі транспортні засоби загального користування, що можуть використовувати маломобільні групи населення закуповують за рахунок бюджетних коштів та коштів міжнародних фінансових організацій, то вони мають відповідати вимогам щодо доступності для таких осіб.</w:t>
            </w:r>
          </w:p>
          <w:p w:rsidR="00000000" w:rsidDel="00000000" w:rsidP="00000000" w:rsidRDefault="00000000" w:rsidRPr="00000000" w14:paraId="00000080">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Усі публічні послуги, зокрема послуги з інформування та оповіщення населення, мають:</w:t>
            </w:r>
          </w:p>
          <w:p w:rsidR="00000000" w:rsidDel="00000000" w:rsidP="00000000" w:rsidRDefault="00000000" w:rsidRPr="00000000" w14:paraId="00000081">
            <w:pPr>
              <w:numPr>
                <w:ilvl w:val="0"/>
                <w:numId w:val="2"/>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бути доступними для всіх осіб, у т. ч. маломобільні групи;</w:t>
            </w:r>
          </w:p>
          <w:p w:rsidR="00000000" w:rsidDel="00000000" w:rsidP="00000000" w:rsidRDefault="00000000" w:rsidRPr="00000000" w14:paraId="00000082">
            <w:pPr>
              <w:numPr>
                <w:ilvl w:val="0"/>
                <w:numId w:val="2"/>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враховувати потреби осіб з різним рівнем можливостей до комунікації, в т. ч. осіб з порушеннями слуху, мови і мовлення, зору, когнітивними порушеннями</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3">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«Деякі питання забезпечення умов безбар’єрності, енергоефективності та вимог цивільного захисту» від 14.02.2023 № 152</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4">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5">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Парламент продовжив строк дії воєнного стану і мобілізації</w:t>
            </w:r>
          </w:p>
          <w:p w:rsidR="00000000" w:rsidDel="00000000" w:rsidP="00000000" w:rsidRDefault="00000000" w:rsidRPr="00000000" w14:paraId="00000086">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Верховна Рада 7 лютого 2023 року схвалила президентські законопроєкти № 8419 «Про затвердження Указу Президента України «Про продовження строку дії воєнного стану в Україні» та № 8420 «Про затвердження Указу Президента України «Про продовження строку проведення загальної мобілізації».</w:t>
            </w:r>
          </w:p>
          <w:p w:rsidR="00000000" w:rsidDel="00000000" w:rsidP="00000000" w:rsidRDefault="00000000" w:rsidRPr="00000000" w14:paraId="00000087">
            <w:pPr>
              <w:shd w:fill="ffffff" w:val="clear"/>
              <w:spacing w:after="24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Вони передбачають продовжити строк дії воєнного стану та мобілізації в Україні з 05 години 30 хвилин </w:t>
            </w:r>
            <w:r w:rsidDel="00000000" w:rsidR="00000000" w:rsidRPr="00000000">
              <w:rPr>
                <w:rFonts w:ascii="Times New Roman" w:cs="Times New Roman" w:eastAsia="Times New Roman" w:hAnsi="Times New Roman"/>
                <w:b w:val="1"/>
                <w:color w:val="222222"/>
                <w:sz w:val="24"/>
                <w:szCs w:val="24"/>
                <w:rtl w:val="0"/>
              </w:rPr>
              <w:t xml:space="preserve">19 лютого</w:t>
            </w:r>
            <w:r w:rsidDel="00000000" w:rsidR="00000000" w:rsidRPr="00000000">
              <w:rPr>
                <w:rFonts w:ascii="Times New Roman" w:cs="Times New Roman" w:eastAsia="Times New Roman" w:hAnsi="Times New Roman"/>
                <w:color w:val="222222"/>
                <w:sz w:val="24"/>
                <w:szCs w:val="24"/>
                <w:rtl w:val="0"/>
              </w:rPr>
              <w:t xml:space="preserve"> 2023 року </w:t>
            </w:r>
            <w:r w:rsidDel="00000000" w:rsidR="00000000" w:rsidRPr="00000000">
              <w:rPr>
                <w:rFonts w:ascii="Times New Roman" w:cs="Times New Roman" w:eastAsia="Times New Roman" w:hAnsi="Times New Roman"/>
                <w:b w:val="1"/>
                <w:color w:val="222222"/>
                <w:sz w:val="24"/>
                <w:szCs w:val="24"/>
                <w:rtl w:val="0"/>
              </w:rPr>
              <w:t xml:space="preserve">строком на 90 діб. </w:t>
            </w:r>
            <w:r w:rsidDel="00000000" w:rsidR="00000000" w:rsidRPr="00000000">
              <w:rPr>
                <w:rFonts w:ascii="Times New Roman" w:cs="Times New Roman" w:eastAsia="Times New Roman" w:hAnsi="Times New Roman"/>
                <w:color w:val="222222"/>
                <w:sz w:val="24"/>
                <w:szCs w:val="24"/>
                <w:rtl w:val="0"/>
              </w:rPr>
              <w:t xml:space="preserve">Отже, воєнний стан діятиме </w:t>
            </w:r>
            <w:r w:rsidDel="00000000" w:rsidR="00000000" w:rsidRPr="00000000">
              <w:rPr>
                <w:rFonts w:ascii="Times New Roman" w:cs="Times New Roman" w:eastAsia="Times New Roman" w:hAnsi="Times New Roman"/>
                <w:b w:val="1"/>
                <w:color w:val="222222"/>
                <w:sz w:val="24"/>
                <w:szCs w:val="24"/>
                <w:rtl w:val="0"/>
              </w:rPr>
              <w:t xml:space="preserve">до 20 травня</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2023</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b w:val="1"/>
                <w:color w:val="222222"/>
                <w:sz w:val="24"/>
                <w:szCs w:val="24"/>
                <w:rtl w:val="0"/>
              </w:rPr>
              <w:t xml:space="preserve">року</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8">
            <w:pPr>
              <w:spacing w:line="259"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Закон України «Про затвердження Указу Президента України «Про продовження строку дії воєнного стану в Україні»</w:t>
            </w:r>
            <w:r w:rsidDel="00000000" w:rsidR="00000000" w:rsidRPr="00000000">
              <w:rPr>
                <w:rtl w:val="0"/>
              </w:rPr>
              <w:t xml:space="preserve"> </w:t>
            </w:r>
            <w:r w:rsidDel="00000000" w:rsidR="00000000" w:rsidRPr="00000000">
              <w:rPr>
                <w:rFonts w:ascii="Times New Roman" w:cs="Times New Roman" w:eastAsia="Times New Roman" w:hAnsi="Times New Roman"/>
                <w:color w:val="222222"/>
                <w:sz w:val="24"/>
                <w:szCs w:val="24"/>
                <w:rtl w:val="0"/>
              </w:rPr>
              <w:t xml:space="preserve">від 07.02.2023 № 2915-IX,</w:t>
            </w:r>
          </w:p>
          <w:p w:rsidR="00000000" w:rsidDel="00000000" w:rsidP="00000000" w:rsidRDefault="00000000" w:rsidRPr="00000000" w14:paraId="00000089">
            <w:pPr>
              <w:spacing w:line="259" w:lineRule="auto"/>
              <w:jc w:val="center"/>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Закон України «Про затвердження Указу Президента України «Про продовження строку проведення загальної мобілізації» від 07.02.2023 № 2916-IX</w:t>
            </w:r>
          </w:p>
          <w:p w:rsidR="00000000" w:rsidDel="00000000" w:rsidP="00000000" w:rsidRDefault="00000000" w:rsidRPr="00000000" w14:paraId="0000008A">
            <w:pPr>
              <w:spacing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B">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02.02.2023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C">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НКРЕКП внесла зміни до Правил роздрібного ринку електричної енергії</w:t>
            </w:r>
          </w:p>
          <w:p w:rsidR="00000000" w:rsidDel="00000000" w:rsidP="00000000" w:rsidRDefault="00000000" w:rsidRPr="00000000" w14:paraId="0000008D">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Зміни у Правилах роздрібного ринку електричної енергії, затверджених постановою НКРЕКП від 14.03.2018 № 312 (далі — Правила), торкнулися, зокрема, непобутових споживачів.</w:t>
            </w:r>
          </w:p>
          <w:p w:rsidR="00000000" w:rsidDel="00000000" w:rsidP="00000000" w:rsidRDefault="00000000" w:rsidRPr="00000000" w14:paraId="0000008E">
            <w:pPr>
              <w:shd w:fill="ffffff" w:val="clear"/>
              <w:spacing w:after="24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З-поміж змін — нова форма акта про порушення. Такий акт тепер не буде підставою для визначення обсягу та вартості необлікованої електричної енергії</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8F">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НКРЕКП «Про затвердження Змін до Правил роздрібного ринку електричної енергії» від 31.01.2023 № 203</w:t>
            </w:r>
          </w:p>
        </w:tc>
      </w:tr>
      <w:tr>
        <w:trPr>
          <w:cantSplit w:val="0"/>
          <w:tblHeader w:val="0"/>
        </w:trPr>
        <w:tc>
          <w:tcPr>
            <w:gridSpan w:val="3"/>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90">
            <w:pPr>
              <w:spacing w:line="259" w:lineRule="auto"/>
              <w:jc w:val="cente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Січень</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9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94">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КМУ вніс зміни до норм харчування</w:t>
            </w:r>
          </w:p>
          <w:p w:rsidR="00000000" w:rsidDel="00000000" w:rsidP="00000000" w:rsidRDefault="00000000" w:rsidRPr="00000000" w14:paraId="00000095">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КМУ поширив на поліцейських та працівників поліції застосування норм харчування військовослужбовців Збройних Сил, інших військових формувань та Державної служби спеціального зв’язку та захисту інформації, поліцейських, осіб рядового та начальницького складу підрозділів Державної фіскальної служби, осіб рядового, начальницького складу органів і підрозділів цивільного захисту, затверджені постановою КМУ від 29.03.2002 № 426.</w:t>
            </w:r>
          </w:p>
          <w:p w:rsidR="00000000" w:rsidDel="00000000" w:rsidP="00000000" w:rsidRDefault="00000000" w:rsidRPr="00000000" w14:paraId="00000096">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Відтак ці категорії також слід забезпечувати харчуванням за рахунок держави з огляду на згадані норми.</w:t>
            </w:r>
          </w:p>
          <w:p w:rsidR="00000000" w:rsidDel="00000000" w:rsidP="00000000" w:rsidRDefault="00000000" w:rsidRPr="00000000" w14:paraId="00000097">
            <w:pPr>
              <w:shd w:fill="ffffff" w:val="clear"/>
              <w:spacing w:after="24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Видатки, пов’язані зі змінами, проводитимуть в межах асигнувань, передбачених Нацполіції</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98">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постанов Кабінету Міністрів України від 29 березня 2002 р. № 426 і від 28 жовтня 2015 р. № 877» від 24.01.2023 № 64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99">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9A">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Оновили окремі форми документів, що їх містять додатки до</w:t>
            </w:r>
            <w:hyperlink r:id="rId14">
              <w:r w:rsidDel="00000000" w:rsidR="00000000" w:rsidRPr="00000000">
                <w:rPr>
                  <w:rFonts w:ascii="Times New Roman" w:cs="Times New Roman" w:eastAsia="Times New Roman" w:hAnsi="Times New Roman"/>
                  <w:b w:val="1"/>
                  <w:color w:val="1d63cc"/>
                  <w:sz w:val="24"/>
                  <w:szCs w:val="24"/>
                  <w:highlight w:val="white"/>
                  <w:rtl w:val="0"/>
                </w:rPr>
                <w:t xml:space="preserve"> Інструкції про складання і виконання розпису Державного бюджету України</w:t>
              </w:r>
            </w:hyperlink>
            <w:r w:rsidDel="00000000" w:rsidR="00000000" w:rsidRPr="00000000">
              <w:rPr>
                <w:rFonts w:ascii="Times New Roman" w:cs="Times New Roman" w:eastAsia="Times New Roman" w:hAnsi="Times New Roman"/>
                <w:b w:val="1"/>
                <w:color w:val="222222"/>
                <w:sz w:val="24"/>
                <w:szCs w:val="24"/>
                <w:highlight w:val="white"/>
                <w:rtl w:val="0"/>
              </w:rPr>
              <w:t xml:space="preserve">, затвердженої наказом Мінфіну від 28.01.2002 № 57</w:t>
            </w:r>
          </w:p>
          <w:p w:rsidR="00000000" w:rsidDel="00000000" w:rsidP="00000000" w:rsidRDefault="00000000" w:rsidRPr="00000000" w14:paraId="0000009B">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За новими формами слід складати:</w:t>
            </w:r>
          </w:p>
          <w:p w:rsidR="00000000" w:rsidDel="00000000" w:rsidP="00000000" w:rsidRDefault="00000000" w:rsidRPr="00000000" w14:paraId="0000009C">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річного розпису бюджету (</w:t>
            </w:r>
            <w:hyperlink r:id="rId15">
              <w:r w:rsidDel="00000000" w:rsidR="00000000" w:rsidRPr="00000000">
                <w:rPr>
                  <w:rFonts w:ascii="Times New Roman" w:cs="Times New Roman" w:eastAsia="Times New Roman" w:hAnsi="Times New Roman"/>
                  <w:color w:val="1d63cc"/>
                  <w:sz w:val="24"/>
                  <w:szCs w:val="24"/>
                  <w:highlight w:val="white"/>
                  <w:rtl w:val="0"/>
                </w:rPr>
                <w:t xml:space="preserve">додаток 1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9D">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помісячного розпису асигнувань (за винятком надання кредитів з бюджету) загального фонду бюджету (</w:t>
            </w:r>
            <w:hyperlink r:id="rId16">
              <w:r w:rsidDel="00000000" w:rsidR="00000000" w:rsidRPr="00000000">
                <w:rPr>
                  <w:rFonts w:ascii="Times New Roman" w:cs="Times New Roman" w:eastAsia="Times New Roman" w:hAnsi="Times New Roman"/>
                  <w:color w:val="1d63cc"/>
                  <w:sz w:val="24"/>
                  <w:szCs w:val="24"/>
                  <w:highlight w:val="white"/>
                  <w:rtl w:val="0"/>
                </w:rPr>
                <w:t xml:space="preserve">додаток 2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9E">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помісячного розпису надання кредитів із загального фонду бюджету (</w:t>
            </w:r>
            <w:hyperlink r:id="rId17">
              <w:r w:rsidDel="00000000" w:rsidR="00000000" w:rsidRPr="00000000">
                <w:rPr>
                  <w:rFonts w:ascii="Times New Roman" w:cs="Times New Roman" w:eastAsia="Times New Roman" w:hAnsi="Times New Roman"/>
                  <w:color w:val="1d63cc"/>
                  <w:sz w:val="24"/>
                  <w:szCs w:val="24"/>
                  <w:highlight w:val="white"/>
                  <w:rtl w:val="0"/>
                </w:rPr>
                <w:t xml:space="preserve">додаток 3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9F">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помісячного розпису доходів загального фонду бюджету (</w:t>
            </w:r>
            <w:hyperlink r:id="rId18">
              <w:r w:rsidDel="00000000" w:rsidR="00000000" w:rsidRPr="00000000">
                <w:rPr>
                  <w:rFonts w:ascii="Times New Roman" w:cs="Times New Roman" w:eastAsia="Times New Roman" w:hAnsi="Times New Roman"/>
                  <w:color w:val="1d63cc"/>
                  <w:sz w:val="24"/>
                  <w:szCs w:val="24"/>
                  <w:highlight w:val="white"/>
                  <w:rtl w:val="0"/>
                </w:rPr>
                <w:t xml:space="preserve">додаток 4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A0">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помісячного розпису фінансування загального фонду бюджету (</w:t>
            </w:r>
            <w:hyperlink r:id="rId19">
              <w:r w:rsidDel="00000000" w:rsidR="00000000" w:rsidRPr="00000000">
                <w:rPr>
                  <w:rFonts w:ascii="Times New Roman" w:cs="Times New Roman" w:eastAsia="Times New Roman" w:hAnsi="Times New Roman"/>
                  <w:color w:val="1d63cc"/>
                  <w:sz w:val="24"/>
                  <w:szCs w:val="24"/>
                  <w:highlight w:val="white"/>
                  <w:rtl w:val="0"/>
                </w:rPr>
                <w:t xml:space="preserve">додаток 5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A1">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помісячного розпису спеціального фонду бюджету (за винятком власних надходжень бюджетних установ та відповідних видатків) (</w:t>
            </w:r>
            <w:hyperlink r:id="rId20">
              <w:r w:rsidDel="00000000" w:rsidR="00000000" w:rsidRPr="00000000">
                <w:rPr>
                  <w:rFonts w:ascii="Times New Roman" w:cs="Times New Roman" w:eastAsia="Times New Roman" w:hAnsi="Times New Roman"/>
                  <w:color w:val="1d63cc"/>
                  <w:sz w:val="24"/>
                  <w:szCs w:val="24"/>
                  <w:highlight w:val="white"/>
                  <w:rtl w:val="0"/>
                </w:rPr>
                <w:t xml:space="preserve">додаток 6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A2">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Реєстр довідок про зміни до розпису Державного бюджету України до листа Міністерства фінансів України (</w:t>
            </w:r>
            <w:hyperlink r:id="rId21">
              <w:r w:rsidDel="00000000" w:rsidR="00000000" w:rsidRPr="00000000">
                <w:rPr>
                  <w:rFonts w:ascii="Times New Roman" w:cs="Times New Roman" w:eastAsia="Times New Roman" w:hAnsi="Times New Roman"/>
                  <w:color w:val="1d63cc"/>
                  <w:sz w:val="24"/>
                  <w:szCs w:val="24"/>
                  <w:highlight w:val="white"/>
                  <w:rtl w:val="0"/>
                </w:rPr>
                <w:t xml:space="preserve">додаток 8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A3">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Довідку про зміни до помісячного розпису повернення кредитів до загального фонду бюджету (</w:t>
            </w:r>
            <w:hyperlink r:id="rId22">
              <w:r w:rsidDel="00000000" w:rsidR="00000000" w:rsidRPr="00000000">
                <w:rPr>
                  <w:rFonts w:ascii="Times New Roman" w:cs="Times New Roman" w:eastAsia="Times New Roman" w:hAnsi="Times New Roman"/>
                  <w:color w:val="1d63cc"/>
                  <w:sz w:val="24"/>
                  <w:szCs w:val="24"/>
                  <w:highlight w:val="white"/>
                  <w:rtl w:val="0"/>
                </w:rPr>
                <w:t xml:space="preserve">додаток 15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A4">
            <w:pPr>
              <w:numPr>
                <w:ilvl w:val="0"/>
                <w:numId w:val="3"/>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Помісячний розподіл міжбюджетних трансфертів, які надаються з державного бюджету місцевим бюджетам (</w:t>
            </w:r>
            <w:hyperlink r:id="rId23">
              <w:r w:rsidDel="00000000" w:rsidR="00000000" w:rsidRPr="00000000">
                <w:rPr>
                  <w:rFonts w:ascii="Times New Roman" w:cs="Times New Roman" w:eastAsia="Times New Roman" w:hAnsi="Times New Roman"/>
                  <w:color w:val="1d63cc"/>
                  <w:sz w:val="24"/>
                  <w:szCs w:val="24"/>
                  <w:highlight w:val="white"/>
                  <w:rtl w:val="0"/>
                </w:rPr>
                <w:t xml:space="preserve">додаток 16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A5">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Зміни до помісячного розподілу міжбюджетних трансфертів, які надаються з державного бюджету місцевим бюджетам (</w:t>
            </w:r>
            <w:hyperlink r:id="rId24">
              <w:r w:rsidDel="00000000" w:rsidR="00000000" w:rsidRPr="00000000">
                <w:rPr>
                  <w:rFonts w:ascii="Times New Roman" w:cs="Times New Roman" w:eastAsia="Times New Roman" w:hAnsi="Times New Roman"/>
                  <w:color w:val="1d63cc"/>
                  <w:sz w:val="24"/>
                  <w:szCs w:val="24"/>
                  <w:highlight w:val="white"/>
                  <w:rtl w:val="0"/>
                </w:rPr>
                <w:t xml:space="preserve">додаток 17 до Інструкції № 57</w:t>
              </w:r>
            </w:hyperlink>
            <w:r w:rsidDel="00000000" w:rsidR="00000000" w:rsidRPr="00000000">
              <w:rPr>
                <w:rFonts w:ascii="Times New Roman" w:cs="Times New Roman" w:eastAsia="Times New Roman" w:hAnsi="Times New Roman"/>
                <w:color w:val="222222"/>
                <w:sz w:val="24"/>
                <w:szCs w:val="24"/>
                <w:highlight w:val="white"/>
                <w:rtl w:val="0"/>
              </w:rPr>
              <w:t xml:space="preserve">)</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A6">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Наказ Мінфіну «</w:t>
            </w:r>
            <w:r w:rsidDel="00000000" w:rsidR="00000000" w:rsidRPr="00000000">
              <w:rPr>
                <w:rFonts w:ascii="Times New Roman" w:cs="Times New Roman" w:eastAsia="Times New Roman" w:hAnsi="Times New Roman"/>
                <w:color w:val="333333"/>
                <w:sz w:val="24"/>
                <w:szCs w:val="24"/>
                <w:highlight w:val="white"/>
                <w:rtl w:val="0"/>
              </w:rPr>
              <w:t xml:space="preserve">Про затвердження Змін до Інструкції про складання і виконання розпису Державного бюджету України» </w:t>
            </w:r>
            <w:r w:rsidDel="00000000" w:rsidR="00000000" w:rsidRPr="00000000">
              <w:rPr>
                <w:rFonts w:ascii="Times New Roman" w:cs="Times New Roman" w:eastAsia="Times New Roman" w:hAnsi="Times New Roman"/>
                <w:color w:val="222222"/>
                <w:sz w:val="24"/>
                <w:szCs w:val="24"/>
                <w:highlight w:val="white"/>
                <w:rtl w:val="0"/>
              </w:rPr>
              <w:t xml:space="preserve">від 23.01.2023 № 36</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A7">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A8">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222222"/>
                <w:sz w:val="24"/>
                <w:szCs w:val="24"/>
                <w:highlight w:val="white"/>
                <w:rtl w:val="0"/>
              </w:rPr>
              <w:t xml:space="preserve">Мінфін відкоригував вимоги до реєстрації замовниками-бюджетниками прямих договорів, які вони укладають за </w:t>
            </w:r>
            <w:hyperlink r:id="rId25">
              <w:r w:rsidDel="00000000" w:rsidR="00000000" w:rsidRPr="00000000">
                <w:rPr>
                  <w:rFonts w:ascii="Times New Roman" w:cs="Times New Roman" w:eastAsia="Times New Roman" w:hAnsi="Times New Roman"/>
                  <w:b w:val="1"/>
                  <w:color w:val="ac213e"/>
                  <w:sz w:val="24"/>
                  <w:szCs w:val="24"/>
                  <w:highlight w:val="white"/>
                  <w:rtl w:val="0"/>
                </w:rPr>
                <w:t xml:space="preserve">Особливостями</w:t>
              </w:r>
            </w:hyperlink>
            <w:r w:rsidDel="00000000" w:rsidR="00000000" w:rsidRPr="00000000">
              <w:rPr>
                <w:rtl w:val="0"/>
              </w:rPr>
            </w:r>
          </w:p>
          <w:p w:rsidR="00000000" w:rsidDel="00000000" w:rsidP="00000000" w:rsidRDefault="00000000" w:rsidRPr="00000000" w14:paraId="000000A9">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Відтак замовники, які укладають прямий договір для закупівлі товарів, робіт, послуг, подають підтвердні документи до органу Казначейства:</w:t>
            </w:r>
          </w:p>
          <w:p w:rsidR="00000000" w:rsidDel="00000000" w:rsidP="00000000" w:rsidRDefault="00000000" w:rsidRPr="00000000" w14:paraId="000000AA">
            <w:pPr>
              <w:numPr>
                <w:ilvl w:val="0"/>
                <w:numId w:val="7"/>
              </w:numPr>
              <w:shd w:fill="ffffff" w:val="clear"/>
              <w:spacing w:line="259" w:lineRule="auto"/>
              <w:ind w:left="720" w:hanging="360"/>
              <w:rPr>
                <w:rFonts w:ascii="Roboto" w:cs="Roboto" w:eastAsia="Roboto" w:hAnsi="Roboto"/>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протягом 7 робочих днів </w:t>
            </w:r>
            <w:r w:rsidDel="00000000" w:rsidR="00000000" w:rsidRPr="00000000">
              <w:rPr>
                <w:rFonts w:ascii="Times New Roman" w:cs="Times New Roman" w:eastAsia="Times New Roman" w:hAnsi="Times New Roman"/>
                <w:b w:val="1"/>
                <w:color w:val="222222"/>
                <w:sz w:val="24"/>
                <w:szCs w:val="24"/>
                <w:rtl w:val="0"/>
              </w:rPr>
              <w:t xml:space="preserve">з дати взяття бюджетного зобов’язання</w:t>
            </w:r>
            <w:r w:rsidDel="00000000" w:rsidR="00000000" w:rsidRPr="00000000">
              <w:rPr>
                <w:rFonts w:ascii="Times New Roman" w:cs="Times New Roman" w:eastAsia="Times New Roman" w:hAnsi="Times New Roman"/>
                <w:color w:val="222222"/>
                <w:sz w:val="24"/>
                <w:szCs w:val="24"/>
                <w:rtl w:val="0"/>
              </w:rPr>
              <w:t xml:space="preserve"> — якщо орган Казначейства взяв на облік кошторис; або</w:t>
            </w:r>
            <w:r w:rsidDel="00000000" w:rsidR="00000000" w:rsidRPr="00000000">
              <w:rPr>
                <w:rtl w:val="0"/>
              </w:rPr>
            </w:r>
          </w:p>
          <w:p w:rsidR="00000000" w:rsidDel="00000000" w:rsidP="00000000" w:rsidRDefault="00000000" w:rsidRPr="00000000" w14:paraId="000000AB">
            <w:pPr>
              <w:numPr>
                <w:ilvl w:val="0"/>
                <w:numId w:val="7"/>
              </w:numPr>
              <w:shd w:fill="ffffff" w:val="clear"/>
              <w:spacing w:line="259" w:lineRule="auto"/>
              <w:ind w:left="720" w:hanging="360"/>
              <w:rPr>
                <w:rFonts w:ascii="Roboto" w:cs="Roboto" w:eastAsia="Roboto" w:hAnsi="Roboto"/>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протягом 7 робочих днів </w:t>
            </w:r>
            <w:r w:rsidDel="00000000" w:rsidR="00000000" w:rsidRPr="00000000">
              <w:rPr>
                <w:rFonts w:ascii="Times New Roman" w:cs="Times New Roman" w:eastAsia="Times New Roman" w:hAnsi="Times New Roman"/>
                <w:b w:val="1"/>
                <w:color w:val="222222"/>
                <w:sz w:val="24"/>
                <w:szCs w:val="24"/>
                <w:rtl w:val="0"/>
              </w:rPr>
              <w:t xml:space="preserve">з дати взяття на облік органом Казначейства кошторису</w:t>
            </w:r>
            <w:r w:rsidDel="00000000" w:rsidR="00000000" w:rsidRPr="00000000">
              <w:rPr>
                <w:rFonts w:ascii="Times New Roman" w:cs="Times New Roman" w:eastAsia="Times New Roman" w:hAnsi="Times New Roman"/>
                <w:color w:val="222222"/>
                <w:sz w:val="24"/>
                <w:szCs w:val="24"/>
                <w:rtl w:val="0"/>
              </w:rPr>
              <w:t xml:space="preserve"> (плану використання бюджетних коштів).</w:t>
            </w:r>
            <w:r w:rsidDel="00000000" w:rsidR="00000000" w:rsidRPr="00000000">
              <w:rPr>
                <w:rtl w:val="0"/>
              </w:rPr>
            </w:r>
          </w:p>
          <w:p w:rsidR="00000000" w:rsidDel="00000000" w:rsidP="00000000" w:rsidRDefault="00000000" w:rsidRPr="00000000" w14:paraId="000000AC">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color w:val="222222"/>
                <w:sz w:val="24"/>
                <w:szCs w:val="24"/>
                <w:rtl w:val="0"/>
              </w:rPr>
              <w:t xml:space="preserve">Для цього Мінфін вніс зміни до пункту 2.2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Мінфіну від 02.03.2012 № 309 (далі — Порядок № 309)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AD">
            <w:pPr>
              <w:spacing w:line="259" w:lineRule="auto"/>
              <w:jc w:val="center"/>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Наказ Мінфіну «Про внесення змін до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від 16.12.2022 № 439</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A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AF">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Змінили Перелік територій, на яких ведуться (велися) бойові дії, або ТОТ</w:t>
            </w:r>
          </w:p>
          <w:p w:rsidR="00000000" w:rsidDel="00000000" w:rsidP="00000000" w:rsidRDefault="00000000" w:rsidRPr="00000000" w14:paraId="000000B0">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Уряд </w:t>
            </w:r>
            <w:hyperlink r:id="rId26">
              <w:r w:rsidDel="00000000" w:rsidR="00000000" w:rsidRPr="00000000">
                <w:rPr>
                  <w:rFonts w:ascii="Times New Roman" w:cs="Times New Roman" w:eastAsia="Times New Roman" w:hAnsi="Times New Roman"/>
                  <w:color w:val="1d63cc"/>
                  <w:sz w:val="24"/>
                  <w:szCs w:val="24"/>
                  <w:rtl w:val="0"/>
                </w:rPr>
                <w:t xml:space="preserve">постановою від 06.12.2022 № 1364</w:t>
              </w:r>
            </w:hyperlink>
            <w:r w:rsidDel="00000000" w:rsidR="00000000" w:rsidRPr="00000000">
              <w:rPr>
                <w:rFonts w:ascii="Times New Roman" w:cs="Times New Roman" w:eastAsia="Times New Roman" w:hAnsi="Times New Roman"/>
                <w:color w:val="222222"/>
                <w:sz w:val="24"/>
                <w:szCs w:val="24"/>
                <w:rtl w:val="0"/>
              </w:rPr>
              <w:t xml:space="preserve"> визначив механізм формування єдиного переліку територій, на яких ведуться (велися) бойові дії або тимчасово окупованих російською федерацією. Актуальний </w:t>
            </w:r>
            <w:hyperlink r:id="rId27">
              <w:r w:rsidDel="00000000" w:rsidR="00000000" w:rsidRPr="00000000">
                <w:rPr>
                  <w:rFonts w:ascii="Times New Roman" w:cs="Times New Roman" w:eastAsia="Times New Roman" w:hAnsi="Times New Roman"/>
                  <w:color w:val="1d63cc"/>
                  <w:sz w:val="24"/>
                  <w:szCs w:val="24"/>
                  <w:rtl w:val="0"/>
                </w:rPr>
                <w:t xml:space="preserve">перелік затверджений наказом Мінреінтеграції</w:t>
              </w:r>
            </w:hyperlink>
            <w:hyperlink r:id="rId28">
              <w:r w:rsidDel="00000000" w:rsidR="00000000" w:rsidRPr="00000000">
                <w:rPr>
                  <w:rFonts w:ascii="Times New Roman" w:cs="Times New Roman" w:eastAsia="Times New Roman" w:hAnsi="Times New Roman"/>
                  <w:color w:val="1d63cc"/>
                  <w:sz w:val="24"/>
                  <w:szCs w:val="24"/>
                  <w:u w:val="single"/>
                  <w:rtl w:val="0"/>
                </w:rPr>
                <w:t xml:space="preserve"> </w:t>
              </w:r>
            </w:hyperlink>
            <w:hyperlink r:id="rId29">
              <w:r w:rsidDel="00000000" w:rsidR="00000000" w:rsidRPr="00000000">
                <w:rPr>
                  <w:rFonts w:ascii="Times New Roman" w:cs="Times New Roman" w:eastAsia="Times New Roman" w:hAnsi="Times New Roman"/>
                  <w:color w:val="1d63cc"/>
                  <w:sz w:val="24"/>
                  <w:szCs w:val="24"/>
                  <w:rtl w:val="0"/>
                </w:rPr>
                <w:t xml:space="preserve">від 22.12.2022 № 309</w:t>
              </w:r>
            </w:hyperlink>
            <w:r w:rsidDel="00000000" w:rsidR="00000000" w:rsidRPr="00000000">
              <w:rPr>
                <w:rFonts w:ascii="Times New Roman" w:cs="Times New Roman" w:eastAsia="Times New Roman" w:hAnsi="Times New Roman"/>
                <w:color w:val="222222"/>
                <w:sz w:val="24"/>
                <w:szCs w:val="24"/>
                <w:rtl w:val="0"/>
              </w:rPr>
              <w:t xml:space="preserve">. Території, які включаються до переліку, поділяються на такі, де ведуться (велися) бойові дії, та тимчасово окуповані.</w:t>
            </w:r>
          </w:p>
          <w:p w:rsidR="00000000" w:rsidDel="00000000" w:rsidP="00000000" w:rsidRDefault="00000000" w:rsidRPr="00000000" w14:paraId="000000B1">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Мінреінтеграції затвердило новий наказ від 13.01.2022 № 14, яким вносить зміни до переліку.</w:t>
            </w:r>
          </w:p>
          <w:p w:rsidR="00000000" w:rsidDel="00000000" w:rsidP="00000000" w:rsidRDefault="00000000" w:rsidRPr="00000000" w14:paraId="000000B2">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Так, </w:t>
            </w:r>
            <w:r w:rsidDel="00000000" w:rsidR="00000000" w:rsidRPr="00000000">
              <w:rPr>
                <w:rFonts w:ascii="Times New Roman" w:cs="Times New Roman" w:eastAsia="Times New Roman" w:hAnsi="Times New Roman"/>
                <w:b w:val="1"/>
                <w:color w:val="222222"/>
                <w:sz w:val="24"/>
                <w:szCs w:val="24"/>
                <w:rtl w:val="0"/>
              </w:rPr>
              <w:t xml:space="preserve">із переліку територій можливих бойових дій виключено Київ</w:t>
            </w:r>
            <w:r w:rsidDel="00000000" w:rsidR="00000000" w:rsidRPr="00000000">
              <w:rPr>
                <w:rFonts w:ascii="Times New Roman" w:cs="Times New Roman" w:eastAsia="Times New Roman" w:hAnsi="Times New Roman"/>
                <w:color w:val="222222"/>
                <w:sz w:val="24"/>
                <w:szCs w:val="24"/>
                <w:rtl w:val="0"/>
              </w:rPr>
              <w:t xml:space="preserve"> (підрозд. 1.11 п. 1 розд. I).</w:t>
            </w:r>
          </w:p>
          <w:p w:rsidR="00000000" w:rsidDel="00000000" w:rsidP="00000000" w:rsidRDefault="00000000" w:rsidRPr="00000000" w14:paraId="000000B3">
            <w:pPr>
              <w:shd w:fill="ffffff" w:val="clear"/>
              <w:spacing w:after="24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Крім того, змінено з «10.08.2022» на </w:t>
            </w:r>
            <w:r w:rsidDel="00000000" w:rsidR="00000000" w:rsidRPr="00000000">
              <w:rPr>
                <w:rFonts w:ascii="Times New Roman" w:cs="Times New Roman" w:eastAsia="Times New Roman" w:hAnsi="Times New Roman"/>
                <w:b w:val="1"/>
                <w:color w:val="222222"/>
                <w:sz w:val="24"/>
                <w:szCs w:val="24"/>
                <w:rtl w:val="0"/>
              </w:rPr>
              <w:t xml:space="preserve">«30.04.2022» дату припинення можливості бойових дій</w:t>
            </w:r>
            <w:r w:rsidDel="00000000" w:rsidR="00000000" w:rsidRPr="00000000">
              <w:rPr>
                <w:rFonts w:ascii="Times New Roman" w:cs="Times New Roman" w:eastAsia="Times New Roman" w:hAnsi="Times New Roman"/>
                <w:color w:val="222222"/>
                <w:sz w:val="24"/>
                <w:szCs w:val="24"/>
                <w:rtl w:val="0"/>
              </w:rPr>
              <w:t xml:space="preserve">, що зазначається в переліку стосовно м. Києва (підрозд. 2.10 п. 2 розд. I)</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B4">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Наказ </w:t>
            </w:r>
            <w:r w:rsidDel="00000000" w:rsidR="00000000" w:rsidRPr="00000000">
              <w:rPr>
                <w:rFonts w:ascii="Times New Roman" w:cs="Times New Roman" w:eastAsia="Times New Roman" w:hAnsi="Times New Roman"/>
                <w:color w:val="222222"/>
                <w:sz w:val="24"/>
                <w:szCs w:val="24"/>
                <w:highlight w:val="white"/>
                <w:rtl w:val="0"/>
              </w:rPr>
              <w:t xml:space="preserve">Мінреінтеграції «</w:t>
            </w:r>
            <w:r w:rsidDel="00000000" w:rsidR="00000000" w:rsidRPr="00000000">
              <w:rPr>
                <w:rFonts w:ascii="Times New Roman" w:cs="Times New Roman" w:eastAsia="Times New Roman" w:hAnsi="Times New Roman"/>
                <w:color w:val="333333"/>
                <w:sz w:val="24"/>
                <w:szCs w:val="24"/>
                <w:highlight w:val="white"/>
                <w:rtl w:val="0"/>
              </w:rPr>
              <w:t xml:space="preserve">Про внесення змін до Переліку територій, на яких ведуться (велися) бойові дії або тимчасово окупованих Російською Федерацією»</w:t>
            </w:r>
            <w:r w:rsidDel="00000000" w:rsidR="00000000" w:rsidRPr="00000000">
              <w:rPr>
                <w:rFonts w:ascii="Times New Roman" w:cs="Times New Roman" w:eastAsia="Times New Roman" w:hAnsi="Times New Roman"/>
                <w:color w:val="222222"/>
                <w:sz w:val="24"/>
                <w:szCs w:val="24"/>
                <w:highlight w:val="white"/>
                <w:rtl w:val="0"/>
              </w:rPr>
              <w:t xml:space="preserve"> від 13.01.2022 № 14</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B5">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B6">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КМУ спростив погодження кошторисів для тих ЦОВВ, що мають у своєму підпорядкуванні військові формування</w:t>
            </w:r>
          </w:p>
          <w:p w:rsidR="00000000" w:rsidDel="00000000" w:rsidP="00000000" w:rsidRDefault="00000000" w:rsidRPr="00000000" w14:paraId="000000B7">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Так, у 2023 році в умовах воєнного стану не застосовуватимуть вимоги щодо погодження з Мінфіном кошторисів, планів асигнувань загального фонду бюджету, планів надання кредитів із загального фонду бюджету, планів спеціального фонду і штатних розписів міністерств, інших центральних органів виконавчої влади, що належать до сектору безпеки і оборони та мають у своєму підпорядкуванні військові формування та правоохоронні органи.</w:t>
            </w:r>
          </w:p>
          <w:p w:rsidR="00000000" w:rsidDel="00000000" w:rsidP="00000000" w:rsidRDefault="00000000" w:rsidRPr="00000000" w14:paraId="000000B8">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Головні розпорядники коштів держбюджету, що належать до сектору безпеки і оборони (далі — головні розпорядники):</w:t>
            </w:r>
          </w:p>
          <w:p w:rsidR="00000000" w:rsidDel="00000000" w:rsidP="00000000" w:rsidRDefault="00000000" w:rsidRPr="00000000" w14:paraId="000000B9">
            <w:pPr>
              <w:numPr>
                <w:ilvl w:val="0"/>
                <w:numId w:val="4"/>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не вносять зміни до паспортів бюджетних програм, видатки за якими спрямовуються на національну безпеку і оборону;</w:t>
            </w:r>
          </w:p>
          <w:p w:rsidR="00000000" w:rsidDel="00000000" w:rsidP="00000000" w:rsidRDefault="00000000" w:rsidRPr="00000000" w14:paraId="000000BA">
            <w:pPr>
              <w:numPr>
                <w:ilvl w:val="0"/>
                <w:numId w:val="4"/>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подають у місячний строк після припинення або скасування воєнного стану до Мінфіну звіти про виконання паспортів бюджетних програм на 2022 рік, видатки за якими спрямовують на нацбезпеку і оборону</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BB">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«Деякі питання виконання Державного бюджету України у 2023 році в умовах воєнного стану» від 06.01.2023 № 14</w:t>
            </w:r>
            <w:r w:rsidDel="00000000" w:rsidR="00000000" w:rsidRPr="00000000">
              <w:rPr>
                <w:rtl w:val="0"/>
              </w:rPr>
            </w:r>
          </w:p>
        </w:tc>
      </w:tr>
      <w:tr>
        <w:trPr>
          <w:cantSplit w:val="0"/>
          <w:trHeight w:val="10206" w:hRule="atLeast"/>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B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BD">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КМУ вніс зміни до </w:t>
            </w:r>
            <w:hyperlink r:id="rId30">
              <w:r w:rsidDel="00000000" w:rsidR="00000000" w:rsidRPr="00000000">
                <w:rPr>
                  <w:rFonts w:ascii="Times New Roman" w:cs="Times New Roman" w:eastAsia="Times New Roman" w:hAnsi="Times New Roman"/>
                  <w:b w:val="1"/>
                  <w:color w:val="1d63cc"/>
                  <w:sz w:val="24"/>
                  <w:szCs w:val="24"/>
                  <w:highlight w:val="white"/>
                  <w:rtl w:val="0"/>
                </w:rPr>
                <w:t xml:space="preserve">Типового договору оренди захисних споруд цивільного захисту</w:t>
              </w:r>
            </w:hyperlink>
            <w:r w:rsidDel="00000000" w:rsidR="00000000" w:rsidRPr="00000000">
              <w:rPr>
                <w:rFonts w:ascii="Times New Roman" w:cs="Times New Roman" w:eastAsia="Times New Roman" w:hAnsi="Times New Roman"/>
                <w:b w:val="1"/>
                <w:color w:val="222222"/>
                <w:sz w:val="24"/>
                <w:szCs w:val="24"/>
                <w:highlight w:val="white"/>
                <w:rtl w:val="0"/>
              </w:rPr>
              <w:t xml:space="preserve">, затвердженого постановою від 10.03.2017 № 138</w:t>
            </w:r>
          </w:p>
          <w:p w:rsidR="00000000" w:rsidDel="00000000" w:rsidP="00000000" w:rsidRDefault="00000000" w:rsidRPr="00000000" w14:paraId="000000BE">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Зокрема, Типовий договір доповнили положеннями щодо розірвання договору в односторонньому порядку. Орендодавець матиме на це право, якщо:</w:t>
            </w:r>
          </w:p>
          <w:p w:rsidR="00000000" w:rsidDel="00000000" w:rsidP="00000000" w:rsidRDefault="00000000" w:rsidRPr="00000000" w14:paraId="000000BF">
            <w:pPr>
              <w:numPr>
                <w:ilvl w:val="0"/>
                <w:numId w:val="5"/>
              </w:numPr>
              <w:shd w:fill="ffffff" w:val="clear"/>
              <w:spacing w:line="259"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орендар порушив вимоги </w:t>
            </w:r>
            <w:hyperlink r:id="rId31">
              <w:r w:rsidDel="00000000" w:rsidR="00000000" w:rsidRPr="00000000">
                <w:rPr>
                  <w:rFonts w:ascii="Times New Roman" w:cs="Times New Roman" w:eastAsia="Times New Roman" w:hAnsi="Times New Roman"/>
                  <w:color w:val="1d63cc"/>
                  <w:sz w:val="24"/>
                  <w:szCs w:val="24"/>
                  <w:highlight w:val="white"/>
                  <w:rtl w:val="0"/>
                </w:rPr>
                <w:t xml:space="preserve">Порядку використання у мирний час захисних споруд цивільного захисту для господарських, культурних і побутових потреб</w:t>
              </w:r>
            </w:hyperlink>
            <w:r w:rsidDel="00000000" w:rsidR="00000000" w:rsidRPr="00000000">
              <w:rPr>
                <w:rFonts w:ascii="Times New Roman" w:cs="Times New Roman" w:eastAsia="Times New Roman" w:hAnsi="Times New Roman"/>
                <w:color w:val="222222"/>
                <w:sz w:val="24"/>
                <w:szCs w:val="24"/>
                <w:highlight w:val="white"/>
                <w:rtl w:val="0"/>
              </w:rPr>
              <w:t xml:space="preserve">, затвердженого постановою КМУ від 10.03.2017 № 138;</w:t>
            </w:r>
            <w:r w:rsidDel="00000000" w:rsidR="00000000" w:rsidRPr="00000000">
              <w:rPr>
                <w:rtl w:val="0"/>
              </w:rPr>
            </w:r>
          </w:p>
          <w:p w:rsidR="00000000" w:rsidDel="00000000" w:rsidP="00000000" w:rsidRDefault="00000000" w:rsidRPr="00000000" w14:paraId="000000C0">
            <w:pPr>
              <w:numPr>
                <w:ilvl w:val="0"/>
                <w:numId w:val="5"/>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орендар не виконав вимоги, визначені Кодексом цивільного захисту України, щодо приведення в готовність захисних споруд, що перебувають у державній або комунальній власності, до прийому населення в разі приведення єдиної державної системи цивільного захисту, її складових у режим підвищеної готовності, виникнення надзвичайної ситуації, введення надзвичайного стану та в особливий період;</w:t>
            </w:r>
          </w:p>
          <w:p w:rsidR="00000000" w:rsidDel="00000000" w:rsidP="00000000" w:rsidRDefault="00000000" w:rsidRPr="00000000" w14:paraId="000000C1">
            <w:pPr>
              <w:numPr>
                <w:ilvl w:val="0"/>
                <w:numId w:val="5"/>
              </w:numPr>
              <w:shd w:fill="ffffff" w:val="clear"/>
              <w:spacing w:line="259" w:lineRule="auto"/>
              <w:ind w:left="72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орендар відмовився від звільнення на вимогу орендодавця захисної споруди (її частини), що перебуває в державній або комунальній власності, від майна третіх осіб у разі настання передбачених випадків</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2">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Типового договору оренди захисних споруд цивільного захисту» від 06.01.2023 № 20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3">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06.01.2023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4">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Нацперелік доповнили новими ліками, які можна закуповувати державним коштом</w:t>
            </w:r>
          </w:p>
          <w:p w:rsidR="00000000" w:rsidDel="00000000" w:rsidP="00000000" w:rsidRDefault="00000000" w:rsidRPr="00000000" w14:paraId="000000C5">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КМУ розширив </w:t>
            </w:r>
            <w:hyperlink r:id="rId32">
              <w:r w:rsidDel="00000000" w:rsidR="00000000" w:rsidRPr="00000000">
                <w:rPr>
                  <w:rFonts w:ascii="Times New Roman" w:cs="Times New Roman" w:eastAsia="Times New Roman" w:hAnsi="Times New Roman"/>
                  <w:color w:val="1d63cc"/>
                  <w:sz w:val="24"/>
                  <w:szCs w:val="24"/>
                  <w:rtl w:val="0"/>
                </w:rPr>
                <w:t xml:space="preserve">Національний перелік основних лікарських засобів,</w:t>
              </w:r>
            </w:hyperlink>
            <w:r w:rsidDel="00000000" w:rsidR="00000000" w:rsidRPr="00000000">
              <w:rPr>
                <w:rFonts w:ascii="Times New Roman" w:cs="Times New Roman" w:eastAsia="Times New Roman" w:hAnsi="Times New Roman"/>
                <w:color w:val="222222"/>
                <w:sz w:val="24"/>
                <w:szCs w:val="24"/>
                <w:rtl w:val="0"/>
              </w:rPr>
              <w:t xml:space="preserve"> затверджений постановою від 25.03.2009 № 333, новими позиціями щодо тих лікарських засобів, відносно яких проведено державну оцінку медичних технологій та надано висновок уповноваженого органу з державної оцінки медичних технологій з рекомендаціями про включення лікарського засобу до Національного переліку.</w:t>
            </w:r>
          </w:p>
          <w:p w:rsidR="00000000" w:rsidDel="00000000" w:rsidP="00000000" w:rsidRDefault="00000000" w:rsidRPr="00000000" w14:paraId="000000C6">
            <w:pPr>
              <w:shd w:fill="ffffff" w:val="clear"/>
              <w:spacing w:after="240" w:before="24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Зокрема, КМУ оновив окремі позиції в підрозділі «Додатковий перелік» та доповнив окремі підрозділи новими позиціями</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7">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 до Національного переліку основних лікарських засобів» від 06.01.2023 № 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8">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9">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КМУ оновив механізм розрахунку граничних оптово-відпускних цін на ліки, які підлягають реімбурсації за програмою державних гарантій медичного обслуговування населення</w:t>
            </w:r>
          </w:p>
          <w:p w:rsidR="00000000" w:rsidDel="00000000" w:rsidP="00000000" w:rsidRDefault="00000000" w:rsidRPr="00000000" w14:paraId="000000CA">
            <w:pPr>
              <w:shd w:fill="ffffff" w:val="clear"/>
              <w:spacing w:after="240" w:before="240"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Відтак, якщо дані про оптово-відпускну ціну лікарської форми лікарського засобу відсутні у всіх референтних країнах (дані яких використовують для зовнішнього референтного ціноутворення для відповідних лікарських засобів), то під час оновлення Реєстру граничних оптово-відпускних цін зазначають ціну лікарської форми лікарського засобу з Реєстру граничних оптово-відпускних цін на лікарські засоби, чинного на дату його оновлення.</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B">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Постанова КМУ «Про внесення зміни до пункту 4 Порядку розрахунку граничних оптово-відпускних цін на лікарські засоби» від 03.01.2023 № 7</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C">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D">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КМУ ухвалив зміни до своєї </w:t>
            </w:r>
            <w:hyperlink r:id="rId33">
              <w:r w:rsidDel="00000000" w:rsidR="00000000" w:rsidRPr="00000000">
                <w:rPr>
                  <w:rFonts w:ascii="Times New Roman" w:cs="Times New Roman" w:eastAsia="Times New Roman" w:hAnsi="Times New Roman"/>
                  <w:b w:val="1"/>
                  <w:color w:val="1d63cc"/>
                  <w:sz w:val="24"/>
                  <w:szCs w:val="24"/>
                  <w:highlight w:val="white"/>
                  <w:rtl w:val="0"/>
                </w:rPr>
                <w:t xml:space="preserve">постанови від 12.10.2022 № 1178</w:t>
              </w:r>
            </w:hyperlink>
            <w:r w:rsidDel="00000000" w:rsidR="00000000" w:rsidRPr="00000000">
              <w:rPr>
                <w:rFonts w:ascii="Times New Roman" w:cs="Times New Roman" w:eastAsia="Times New Roman" w:hAnsi="Times New Roman"/>
                <w:b w:val="1"/>
                <w:color w:val="222222"/>
                <w:sz w:val="24"/>
                <w:szCs w:val="24"/>
                <w:highlight w:val="white"/>
                <w:rtl w:val="0"/>
              </w:rPr>
              <w:t xml:space="preserve">, які передбачають, що відкриті торги з особливостями проходитимуть без аукціону</w:t>
            </w:r>
          </w:p>
          <w:p w:rsidR="00000000" w:rsidDel="00000000" w:rsidP="00000000" w:rsidRDefault="00000000" w:rsidRPr="00000000" w14:paraId="000000CE">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Відмова від аукціону — тимчасове рішення. </w:t>
            </w:r>
            <w:r w:rsidDel="00000000" w:rsidR="00000000" w:rsidRPr="00000000">
              <w:rPr>
                <w:rFonts w:ascii="Times New Roman" w:cs="Times New Roman" w:eastAsia="Times New Roman" w:hAnsi="Times New Roman"/>
                <w:color w:val="222222"/>
                <w:sz w:val="24"/>
                <w:szCs w:val="24"/>
                <w:rtl w:val="0"/>
              </w:rPr>
              <w:t xml:space="preserve">Поки не повернуть аукціони Prozorro автоматично визначатиме найбільш економічну вигідну пропозицію на основі цін, які надали постачальники при подачі своєї тендерної пропозиції.</w:t>
            </w:r>
            <w:r w:rsidDel="00000000" w:rsidR="00000000" w:rsidRPr="00000000">
              <w:rPr>
                <w:rFonts w:ascii="Times New Roman" w:cs="Times New Roman" w:eastAsia="Times New Roman" w:hAnsi="Times New Roman"/>
                <w:rtl w:val="0"/>
              </w:rPr>
              <w:t xml:space="preserve"> А у</w:t>
            </w:r>
            <w:r w:rsidDel="00000000" w:rsidR="00000000" w:rsidRPr="00000000">
              <w:rPr>
                <w:rFonts w:ascii="Times New Roman" w:cs="Times New Roman" w:eastAsia="Times New Roman" w:hAnsi="Times New Roman"/>
                <w:color w:val="222222"/>
                <w:sz w:val="24"/>
                <w:szCs w:val="24"/>
                <w:rtl w:val="0"/>
              </w:rPr>
              <w:t xml:space="preserve">часники відповідно, коли подаватимуть тендерні пропозиції, не матимуть можливості знизитися в аукціоні.</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CF">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Постанова КМУ «Про внесення змін до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від 30.12.2022 № 1495</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D0">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D1">
            <w:pPr>
              <w:spacing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Пункт 19 Порядку № 590, який визначає черговість, за якою Казначейство та органи Казначейства здійснюють платежі, доповнили новими видатками другої черги</w:t>
            </w:r>
          </w:p>
          <w:p w:rsidR="00000000" w:rsidDel="00000000" w:rsidP="00000000" w:rsidRDefault="00000000" w:rsidRPr="00000000" w14:paraId="000000D2">
            <w:pPr>
              <w:spacing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Так, за рахунок видатків загального фонду державного та місцевих бюджетів дозволили видатки на:</w:t>
            </w:r>
          </w:p>
          <w:p w:rsidR="00000000" w:rsidDel="00000000" w:rsidP="00000000" w:rsidRDefault="00000000" w:rsidRPr="00000000" w14:paraId="000000D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дослідження і розроблення, окремі заходи з виконання державних (регіональних) програм, субсидії та поточні трансферти підприємствам, установам та організаціям у частині оплати праці з нарахуваннями;</w:t>
            </w:r>
          </w:p>
          <w:p w:rsidR="00000000" w:rsidDel="00000000" w:rsidP="00000000" w:rsidRDefault="00000000" w:rsidRPr="00000000" w14:paraId="000000D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придбання природного газу для проходження опалювального сезону 2022—2023 років відповідно до статті 41 Закону про Державний бюджет України на 2022 рік;</w:t>
            </w:r>
          </w:p>
          <w:p w:rsidR="00000000" w:rsidDel="00000000" w:rsidP="00000000" w:rsidRDefault="00000000" w:rsidRPr="00000000" w14:paraId="000000D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придбання та встановлення джерел резервного живлення;</w:t>
            </w:r>
          </w:p>
          <w:p w:rsidR="00000000" w:rsidDel="00000000" w:rsidP="00000000" w:rsidRDefault="00000000" w:rsidRPr="00000000" w14:paraId="000000D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реабілітацію дітей з інвалідністю; придбання захищених носіїв особистих ключів;</w:t>
            </w:r>
          </w:p>
          <w:p w:rsidR="00000000" w:rsidDel="00000000" w:rsidP="00000000" w:rsidRDefault="00000000" w:rsidRPr="00000000" w14:paraId="000000D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облаштування тимчасових пунктів обігріву;</w:t>
            </w:r>
          </w:p>
          <w:p w:rsidR="00000000" w:rsidDel="00000000" w:rsidP="00000000" w:rsidRDefault="00000000" w:rsidRPr="00000000" w14:paraId="000000D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на заходи щодо виконання рішень суду, що гарантовані державою; виконання рішень про стягнення коштів державного та місцевих бюджетів або боржників;</w:t>
            </w:r>
            <w:r w:rsidDel="00000000" w:rsidR="00000000" w:rsidRPr="00000000">
              <w:rPr>
                <w:rtl w:val="0"/>
              </w:rPr>
            </w:r>
          </w:p>
          <w:p w:rsidR="00000000" w:rsidDel="00000000" w:rsidP="00000000" w:rsidRDefault="00000000" w:rsidRPr="00000000" w14:paraId="000000D9">
            <w:pPr>
              <w:spacing w:line="259"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Додатково дозволили видатки на:</w:t>
            </w:r>
          </w:p>
          <w:p w:rsidR="00000000" w:rsidDel="00000000" w:rsidP="00000000" w:rsidRDefault="00000000" w:rsidRPr="00000000" w14:paraId="000000D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експертне обстеження і виконання робіт з реконструкції та капітального ремонту ліфтів;</w:t>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облаштування тимчасових пунктів обігріву.</w:t>
            </w:r>
          </w:p>
          <w:p w:rsidR="00000000" w:rsidDel="00000000" w:rsidP="00000000" w:rsidRDefault="00000000" w:rsidRPr="00000000" w14:paraId="000000DC">
            <w:pPr>
              <w:spacing w:line="259" w:lineRule="auto"/>
              <w:rPr>
                <w:rFonts w:ascii="Times New Roman" w:cs="Times New Roman" w:eastAsia="Times New Roman" w:hAnsi="Times New Roman"/>
                <w:color w:val="222222"/>
                <w:sz w:val="24"/>
                <w:szCs w:val="24"/>
                <w:highlight w:val="whit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DD">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Постанова КМУ «Про внесення змін до Порядку виконання повноважень Державною казначейською службою в особливому режимі в умовах воєнного стану» від 23.12.2022 № 1420</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DE">
            <w:pPr>
              <w:spacing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01.01.2023</w:t>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DF">
            <w:pPr>
              <w:spacing w:line="259" w:lineRule="auto"/>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З 1 січня 2023 року за постачання програмної продукції нараховують ПДВ</w:t>
            </w:r>
          </w:p>
          <w:p w:rsidR="00000000" w:rsidDel="00000000" w:rsidP="00000000" w:rsidRDefault="00000000" w:rsidRPr="00000000" w14:paraId="000000E0">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Урядовці вирішили з 1 січня 2023 року не продовжувати пільгу з ПДВ на постачання програмної продукції. </w:t>
            </w:r>
          </w:p>
          <w:p w:rsidR="00000000" w:rsidDel="00000000" w:rsidP="00000000" w:rsidRDefault="00000000" w:rsidRPr="00000000" w14:paraId="000000E1">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Нагадуємо, що з 1 січня 2013 року до 1 січня 2023 року операції з постачання програмної продукції, а також операції з програмною продукцією, плату за які не вважають роялті звільнили від оподаткування ПДВ.</w:t>
            </w:r>
          </w:p>
          <w:p w:rsidR="00000000" w:rsidDel="00000000" w:rsidP="00000000" w:rsidRDefault="00000000" w:rsidRPr="00000000" w14:paraId="000000E2">
            <w:pPr>
              <w:shd w:fill="ffffff" w:val="clear"/>
              <w:spacing w:after="240" w:before="240" w:line="259"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E3">
            <w:pPr>
              <w:spacing w:line="259"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0E4">
            <w:pPr>
              <w:spacing w:line="259" w:lineRule="auto"/>
              <w:rPr>
                <w:rFonts w:ascii="Times New Roman" w:cs="Times New Roman" w:eastAsia="Times New Roman" w:hAnsi="Times New Roman"/>
                <w:sz w:val="24"/>
                <w:szCs w:val="24"/>
              </w:rPr>
            </w:pPr>
            <w:hyperlink r:id="rId34">
              <w:r w:rsidDel="00000000" w:rsidR="00000000" w:rsidRPr="00000000">
                <w:rPr>
                  <w:rFonts w:ascii="Times New Roman" w:cs="Times New Roman" w:eastAsia="Times New Roman" w:hAnsi="Times New Roman"/>
                  <w:color w:val="1d63cc"/>
                  <w:sz w:val="24"/>
                  <w:szCs w:val="24"/>
                  <w:highlight w:val="white"/>
                  <w:rtl w:val="0"/>
                </w:rPr>
                <w:t xml:space="preserve">п. 26–1 підрозд. 2 розд. ХХ Податкового кодексу України</w:t>
              </w:r>
            </w:hyperlink>
            <w:r w:rsidDel="00000000" w:rsidR="00000000" w:rsidRPr="00000000">
              <w:rPr>
                <w:rtl w:val="0"/>
              </w:rPr>
            </w:r>
          </w:p>
        </w:tc>
      </w:tr>
    </w:tbl>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sectPr>
      <w:headerReference r:id="rId35" w:type="default"/>
      <w:pgSz w:h="16834" w:w="11909" w:orient="portrait"/>
      <w:pgMar w:bottom="1440" w:top="56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ProbaPro"/>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pPr>
    <w:r w:rsidDel="00000000" w:rsidR="00000000" w:rsidRPr="00000000">
      <w:rPr/>
      <w:drawing>
        <wp:inline distB="114300" distT="114300" distL="114300" distR="114300">
          <wp:extent cx="1509713" cy="56386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9713" cy="56386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
    <w:tblPr>
      <w:tblStyleRowBandSize w:val="1"/>
      <w:tblStyleColBandSize w:val="1"/>
      <w:tblCellMar>
        <w:left w:w="115.0" w:type="dxa"/>
        <w:right w:w="115.0" w:type="dxa"/>
      </w:tblCellMar>
    </w:tblPr>
  </w:style>
  <w:style w:type="paragraph" w:styleId="a6">
    <w:name w:val="List Paragraph"/>
    <w:basedOn w:val="a"/>
    <w:uiPriority w:val="34"/>
    <w:qFormat w:val="1"/>
    <w:rsid w:val="009E494C"/>
    <w:pPr>
      <w:ind w:left="720"/>
      <w:contextualSpacing w:val="1"/>
    </w:pPr>
  </w:style>
  <w:style w:type="paragraph" w:styleId="anchor" w:customStyle="1">
    <w:name w:val="anchor"/>
    <w:basedOn w:val="a"/>
    <w:rsid w:val="009E494C"/>
    <w:pPr>
      <w:spacing w:after="100" w:afterAutospacing="1" w:before="100" w:beforeAutospacing="1" w:line="240" w:lineRule="auto"/>
    </w:pPr>
    <w:rPr>
      <w:rFonts w:ascii="Times New Roman" w:cs="Times New Roman" w:eastAsia="Times New Roman" w:hAnsi="Times New Roman"/>
      <w:sz w:val="24"/>
      <w:szCs w:val="24"/>
      <w:lang w:val="ru-UA"/>
    </w:rPr>
  </w:style>
  <w:style w:type="paragraph" w:styleId="listitem" w:customStyle="1">
    <w:name w:val="list__item"/>
    <w:basedOn w:val="a"/>
    <w:rsid w:val="009E494C"/>
    <w:pPr>
      <w:spacing w:after="100" w:afterAutospacing="1" w:before="100" w:beforeAutospacing="1" w:line="240" w:lineRule="auto"/>
    </w:pPr>
    <w:rPr>
      <w:rFonts w:ascii="Times New Roman" w:cs="Times New Roman" w:eastAsia="Times New Roman" w:hAnsi="Times New Roman"/>
      <w:sz w:val="24"/>
      <w:szCs w:val="24"/>
      <w:lang w:val="ru-UA"/>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z.expertus.com.ua/law/19348#2d4d2567ab" TargetMode="External"/><Relationship Id="rId22" Type="http://schemas.openxmlformats.org/officeDocument/2006/relationships/hyperlink" Target="https://dz.expertus.com.ua/law/19348#57a8dbd715" TargetMode="External"/><Relationship Id="rId21" Type="http://schemas.openxmlformats.org/officeDocument/2006/relationships/hyperlink" Target="https://dz.expertus.com.ua/law/19348#947ba4798b" TargetMode="External"/><Relationship Id="rId24" Type="http://schemas.openxmlformats.org/officeDocument/2006/relationships/hyperlink" Target="https://dz.expertus.com.ua/law/19348#cf67542e37" TargetMode="External"/><Relationship Id="rId23" Type="http://schemas.openxmlformats.org/officeDocument/2006/relationships/hyperlink" Target="https://dz.expertus.com.ua/law/19348#0099059e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z.expertus.com.ua/law/20450" TargetMode="External"/><Relationship Id="rId26" Type="http://schemas.openxmlformats.org/officeDocument/2006/relationships/hyperlink" Target="https://dz.expertus.com.ua/law/16505" TargetMode="External"/><Relationship Id="rId25" Type="http://schemas.openxmlformats.org/officeDocument/2006/relationships/hyperlink" Target="https://dz.expertus.com.ua/law/16446#e918fd347a" TargetMode="External"/><Relationship Id="rId28" Type="http://schemas.openxmlformats.org/officeDocument/2006/relationships/hyperlink" Target="https://dz.expertus.com.ua/law/16270#c48a122686" TargetMode="External"/><Relationship Id="rId27" Type="http://schemas.openxmlformats.org/officeDocument/2006/relationships/hyperlink" Target="https://dz.expertus.com.ua/law/16270#c48a122686"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z.expertus.com.ua/law/16270#c48a122686" TargetMode="External"/><Relationship Id="rId7" Type="http://schemas.openxmlformats.org/officeDocument/2006/relationships/hyperlink" Target="https://dz.expertus.com.ua/law/21069#054a6b85d1" TargetMode="External"/><Relationship Id="rId8" Type="http://schemas.openxmlformats.org/officeDocument/2006/relationships/hyperlink" Target="https://dz.expertus.com.ua/law/20450" TargetMode="External"/><Relationship Id="rId31" Type="http://schemas.openxmlformats.org/officeDocument/2006/relationships/hyperlink" Target="https://dz.expertus.com.ua/law/16683#e5c15c6ba1" TargetMode="External"/><Relationship Id="rId30" Type="http://schemas.openxmlformats.org/officeDocument/2006/relationships/hyperlink" Target="https://dz.expertus.com.ua/law/16683#a7b6d4db84" TargetMode="External"/><Relationship Id="rId11" Type="http://schemas.openxmlformats.org/officeDocument/2006/relationships/hyperlink" Target="https://dz.expertus.com.ua/law/20450" TargetMode="External"/><Relationship Id="rId33" Type="http://schemas.openxmlformats.org/officeDocument/2006/relationships/hyperlink" Target="https://dz.expertus.com.ua/law/16570" TargetMode="External"/><Relationship Id="rId10" Type="http://schemas.openxmlformats.org/officeDocument/2006/relationships/hyperlink" Target="https://dz.expertus.com.ua/law/20450" TargetMode="External"/><Relationship Id="rId32" Type="http://schemas.openxmlformats.org/officeDocument/2006/relationships/hyperlink" Target="https://dz.expertus.com.ua/law/16691#daa8383032" TargetMode="External"/><Relationship Id="rId13" Type="http://schemas.openxmlformats.org/officeDocument/2006/relationships/hyperlink" Target="https://dz.expertus.com.ua/law/18889" TargetMode="External"/><Relationship Id="rId35" Type="http://schemas.openxmlformats.org/officeDocument/2006/relationships/header" Target="header1.xml"/><Relationship Id="rId12" Type="http://schemas.openxmlformats.org/officeDocument/2006/relationships/hyperlink" Target="https://dz.expertus.com.ua/law/10127#bf2a6c142c" TargetMode="External"/><Relationship Id="rId34" Type="http://schemas.openxmlformats.org/officeDocument/2006/relationships/hyperlink" Target="https://dz.expertus.com.ua/law/15410#082b28482c" TargetMode="External"/><Relationship Id="rId15" Type="http://schemas.openxmlformats.org/officeDocument/2006/relationships/hyperlink" Target="https://dz.expertus.com.ua/law/19348#e99a134dcc" TargetMode="External"/><Relationship Id="rId14" Type="http://schemas.openxmlformats.org/officeDocument/2006/relationships/hyperlink" Target="https://dz.expertus.com.ua/law/19348#29b548e214" TargetMode="External"/><Relationship Id="rId17" Type="http://schemas.openxmlformats.org/officeDocument/2006/relationships/hyperlink" Target="https://dz.expertus.com.ua/law/19348#9b23700ed1" TargetMode="External"/><Relationship Id="rId16" Type="http://schemas.openxmlformats.org/officeDocument/2006/relationships/hyperlink" Target="https://dz.expertus.com.ua/law/19348#29eb82209c" TargetMode="External"/><Relationship Id="rId19" Type="http://schemas.openxmlformats.org/officeDocument/2006/relationships/hyperlink" Target="https://dz.expertus.com.ua/law/19348#36e3f9a52c" TargetMode="External"/><Relationship Id="rId18" Type="http://schemas.openxmlformats.org/officeDocument/2006/relationships/hyperlink" Target="https://dz.expertus.com.ua/law/19348#879ff8867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ZFqDfFGmRXGDU+Qp7AB46UWbhg==">AMUW2mXq7b6K1cckQgMB+lm79JZMGYehlNce/AvO/UJNnmAR36xbigalU/MbNlWmd4PzcWJoyKSNvp66M0UuPhhH8eiyioer0NwuiOta3acIf1BZRVHKO3scGenUUB/bXlbv/1lrSK+a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2023-04-03T19:03:00Z</dcterms:created>
  <dc:creator>Человек</dc:creator>
</cp:coreProperties>
</file>