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470B0" w14:textId="77777777" w:rsidR="000E6F5F" w:rsidRDefault="000E6F5F" w:rsidP="000E6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ДОДАТОК 3</w:t>
      </w:r>
    </w:p>
    <w:p w14:paraId="1463C9A3" w14:textId="77777777" w:rsidR="000E6F5F" w:rsidRDefault="000E6F5F" w:rsidP="000E6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до тендерної документації</w:t>
      </w:r>
    </w:p>
    <w:p w14:paraId="533B2072" w14:textId="77777777" w:rsidR="000E6F5F" w:rsidRDefault="000E6F5F" w:rsidP="000E6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589207" w14:textId="77777777" w:rsidR="000E6F5F" w:rsidRPr="008908CF" w:rsidRDefault="000E6F5F" w:rsidP="000E6F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886">
        <w:rPr>
          <w:rFonts w:ascii="Times New Roman" w:hAnsi="Times New Roman" w:cs="Times New Roman"/>
          <w:b/>
          <w:sz w:val="24"/>
          <w:szCs w:val="24"/>
        </w:rPr>
        <w:t>ДОКУМЕНТИ, ЯКІ ВИМАГАЮТЬСЯ ДЛЯ ПІДТВЕРДЖЕННЯ ВІДПОВІДНОСТІ ПЕРЕМОЖЦЯ ПРОЦЕДУРИ ЗАКУПІВЛІ ВИМОГАМ ЗАМОВНИКА</w:t>
      </w:r>
      <w:r w:rsidRPr="008908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E6DD80" w14:textId="77777777" w:rsidR="000E6F5F" w:rsidRDefault="000E6F5F" w:rsidP="000E6F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 xml:space="preserve">Замовник не вимагає документального підтвердження публічної інформації, що оприлюднена у формі відкритих даних згідно із Законом України “Про доступ до публічної інформації” та/або міститься у відкритих публічних електронних реєстрах, доступ до яких є вільним, або публічної інформації, що є доступною в електронній системі </w:t>
      </w:r>
      <w:proofErr w:type="spellStart"/>
      <w:r w:rsidRPr="008908CF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8908CF">
        <w:rPr>
          <w:rFonts w:ascii="Times New Roman" w:hAnsi="Times New Roman" w:cs="Times New Roman"/>
          <w:sz w:val="24"/>
          <w:szCs w:val="24"/>
        </w:rPr>
        <w:t>, крім випадків, коли доступ до такої інформації є обмеженим на момент оприлюднення оголошення про проведення відкритих торгів.</w:t>
      </w:r>
    </w:p>
    <w:p w14:paraId="21CC51DE" w14:textId="77777777" w:rsidR="000E6F5F" w:rsidRPr="008908CF" w:rsidRDefault="000E6F5F" w:rsidP="000E6F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6D675F" w14:textId="77777777" w:rsidR="000E6F5F" w:rsidRDefault="000E6F5F" w:rsidP="000E6F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01D">
        <w:rPr>
          <w:rFonts w:ascii="Times New Roman" w:hAnsi="Times New Roman" w:cs="Times New Roman"/>
          <w:sz w:val="24"/>
          <w:szCs w:val="24"/>
        </w:rPr>
        <w:t xml:space="preserve">Переможець процедури закупівлі повинен надати замовнику шляхом оприлюднення в електронній системі </w:t>
      </w:r>
      <w:proofErr w:type="spellStart"/>
      <w:r w:rsidRPr="0086101D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86101D">
        <w:rPr>
          <w:rFonts w:ascii="Times New Roman" w:hAnsi="Times New Roman" w:cs="Times New Roman"/>
          <w:sz w:val="24"/>
          <w:szCs w:val="24"/>
        </w:rPr>
        <w:t xml:space="preserve"> у строк, що не перевищує чотири дні з дати оприлюднення в електронній системі </w:t>
      </w:r>
      <w:proofErr w:type="spellStart"/>
      <w:r w:rsidRPr="0086101D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86101D">
        <w:rPr>
          <w:rFonts w:ascii="Times New Roman" w:hAnsi="Times New Roman" w:cs="Times New Roman"/>
          <w:sz w:val="24"/>
          <w:szCs w:val="24"/>
        </w:rPr>
        <w:t xml:space="preserve"> повідомлення про намір укласти договір про закупівлю документи, що підтверджують відсутність підстав, зазначених у         </w:t>
      </w:r>
      <w:hyperlink r:id="rId4" w:anchor="n618">
        <w:r w:rsidRPr="0086101D">
          <w:rPr>
            <w:rFonts w:ascii="Times New Roman" w:hAnsi="Times New Roman" w:cs="Times New Roman"/>
            <w:sz w:val="24"/>
            <w:szCs w:val="24"/>
          </w:rPr>
          <w:t>підпунктах 3</w:t>
        </w:r>
      </w:hyperlink>
      <w:r w:rsidRPr="0086101D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anchor="n620">
        <w:r w:rsidRPr="0086101D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86101D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anchor="n621">
        <w:r w:rsidRPr="0086101D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86101D">
        <w:rPr>
          <w:rFonts w:ascii="Times New Roman" w:hAnsi="Times New Roman" w:cs="Times New Roman"/>
          <w:sz w:val="24"/>
          <w:szCs w:val="24"/>
        </w:rPr>
        <w:t xml:space="preserve"> і </w:t>
      </w:r>
      <w:hyperlink r:id="rId7" w:anchor="n627">
        <w:r w:rsidRPr="0086101D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86101D">
        <w:rPr>
          <w:rFonts w:ascii="Times New Roman" w:hAnsi="Times New Roman" w:cs="Times New Roman"/>
          <w:sz w:val="24"/>
          <w:szCs w:val="24"/>
        </w:rPr>
        <w:t xml:space="preserve"> пункту 47 Особливостей.</w:t>
      </w:r>
    </w:p>
    <w:p w14:paraId="1E238A6B" w14:textId="77777777" w:rsidR="000E6F5F" w:rsidRPr="0086101D" w:rsidRDefault="000E6F5F" w:rsidP="000E6F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81FBB8" w14:textId="77777777" w:rsidR="000E6F5F" w:rsidRDefault="000E6F5F" w:rsidP="000E6F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01D">
        <w:rPr>
          <w:rFonts w:ascii="Times New Roman" w:hAnsi="Times New Roman" w:cs="Times New Roman"/>
          <w:sz w:val="24"/>
          <w:szCs w:val="24"/>
        </w:rPr>
        <w:t>Витяг з інформаційно-аналітичної системи “Облік відомостей про притягнення особи до кримінальної відповідальності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та наявності судимості</w:t>
      </w:r>
      <w:r w:rsidRPr="000768A4">
        <w:rPr>
          <w:rFonts w:ascii="Times New Roman" w:hAnsi="Times New Roman" w:cs="Times New Roman"/>
        </w:rPr>
        <w:t>”</w:t>
      </w:r>
      <w:r w:rsidRPr="008908CF">
        <w:rPr>
          <w:rFonts w:ascii="Times New Roman" w:hAnsi="Times New Roman" w:cs="Times New Roman"/>
          <w:sz w:val="24"/>
          <w:szCs w:val="24"/>
          <w:highlight w:val="white"/>
        </w:rPr>
        <w:t xml:space="preserve"> сформований у паперовій або електронній формі, що містить інформацію про  відсутність судимості щодо фізичної особи, яка є учасником процедури закупівлі </w:t>
      </w:r>
      <w:r w:rsidRPr="00C92436">
        <w:rPr>
          <w:rFonts w:ascii="Times New Roman" w:hAnsi="Times New Roman" w:cs="Times New Roman"/>
          <w:sz w:val="24"/>
          <w:szCs w:val="24"/>
        </w:rPr>
        <w:t xml:space="preserve">або керівника учасника. </w:t>
      </w:r>
    </w:p>
    <w:p w14:paraId="19A29B50" w14:textId="77777777" w:rsidR="000E6F5F" w:rsidRPr="008908CF" w:rsidRDefault="000E6F5F" w:rsidP="000E6F5F">
      <w:pPr>
        <w:spacing w:after="0" w:line="240" w:lineRule="auto"/>
        <w:ind w:firstLine="567"/>
        <w:jc w:val="both"/>
      </w:pPr>
    </w:p>
    <w:p w14:paraId="0E2CFAE5" w14:textId="77777777" w:rsidR="000E6F5F" w:rsidRPr="000032D1" w:rsidRDefault="000E6F5F" w:rsidP="000E6F5F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9076E5">
        <w:rPr>
          <w:rFonts w:ascii="Times New Roman" w:hAnsi="Times New Roman" w:cs="Times New Roman"/>
          <w:sz w:val="24"/>
          <w:szCs w:val="24"/>
        </w:rPr>
        <w:t>Примітка: Н</w:t>
      </w:r>
      <w:r w:rsidRPr="009076E5">
        <w:rPr>
          <w:rFonts w:ascii="Times New Roman" w:hAnsi="Times New Roman" w:cs="Times New Roman"/>
          <w:bCs/>
          <w:sz w:val="24"/>
          <w:szCs w:val="24"/>
        </w:rPr>
        <w:t xml:space="preserve">а підтвердження відсутності підстав для відмови, визначених підпунктом 3 </w:t>
      </w:r>
      <w:r w:rsidRPr="009076E5">
        <w:rPr>
          <w:rFonts w:ascii="Times New Roman" w:hAnsi="Times New Roman" w:cs="Times New Roman"/>
          <w:sz w:val="24"/>
          <w:szCs w:val="24"/>
        </w:rPr>
        <w:t xml:space="preserve">пункту 47 Особливостей замовник буде приймати / переглядати довідку, що сформована електронною системою </w:t>
      </w:r>
      <w:proofErr w:type="spellStart"/>
      <w:r w:rsidRPr="009076E5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9076E5">
        <w:rPr>
          <w:rFonts w:ascii="Times New Roman" w:hAnsi="Times New Roman" w:cs="Times New Roman"/>
          <w:sz w:val="24"/>
          <w:szCs w:val="24"/>
        </w:rPr>
        <w:t xml:space="preserve">, автоматично завдяки інтеграції електронної системи </w:t>
      </w:r>
      <w:proofErr w:type="spellStart"/>
      <w:r w:rsidRPr="009076E5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9076E5">
        <w:rPr>
          <w:rFonts w:ascii="Times New Roman" w:hAnsi="Times New Roman" w:cs="Times New Roman"/>
          <w:sz w:val="24"/>
          <w:szCs w:val="24"/>
        </w:rPr>
        <w:t xml:space="preserve"> з Єдиним державним реєстром осіб, які вчинили корупційні або пов’язані з корупцією правопорушення, що реалізована на підставі наказу Національного агентства з питань запобігання корупції, Міністерства економіки України  від 18.01.2023 № 13/23/395 “Про затвердження Порядку інформаційної взаємодії між Єдиним державним реєстром осіб, які вчинили корупційні або пов’язані з корупцією правопорушення, та електронною системою </w:t>
      </w:r>
      <w:proofErr w:type="spellStart"/>
      <w:r w:rsidRPr="009076E5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9076E5">
        <w:rPr>
          <w:rFonts w:ascii="Times New Roman" w:hAnsi="Times New Roman" w:cs="Times New Roman"/>
          <w:sz w:val="24"/>
          <w:szCs w:val="24"/>
        </w:rPr>
        <w:t xml:space="preserve">”, зареєстрованого в Міністерстві юстиції України  26.01.2023 за № </w:t>
      </w:r>
      <w:r w:rsidRPr="009076E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159/39215. </w:t>
      </w:r>
      <w:r w:rsidRPr="009076E5">
        <w:rPr>
          <w:rFonts w:ascii="Times New Roman" w:hAnsi="Times New Roman" w:cs="Times New Roman"/>
          <w:sz w:val="24"/>
          <w:szCs w:val="24"/>
        </w:rPr>
        <w:t xml:space="preserve">У разі якщо вказана довідка не сформована електронною системою </w:t>
      </w:r>
      <w:proofErr w:type="spellStart"/>
      <w:r w:rsidRPr="009076E5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9076E5">
        <w:rPr>
          <w:rFonts w:ascii="Times New Roman" w:hAnsi="Times New Roman" w:cs="Times New Roman"/>
          <w:sz w:val="24"/>
          <w:szCs w:val="24"/>
        </w:rPr>
        <w:t xml:space="preserve"> автоматично, замовник перевіряє зазначену інформацію</w:t>
      </w:r>
      <w:r w:rsidRPr="009559CE">
        <w:rPr>
          <w:rFonts w:ascii="Times New Roman" w:hAnsi="Times New Roman" w:cs="Times New Roman"/>
          <w:sz w:val="24"/>
          <w:szCs w:val="24"/>
        </w:rPr>
        <w:t xml:space="preserve"> в Єдиному державному реєстрі осіб, які вчинили корупційні або пов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9559CE">
        <w:rPr>
          <w:rFonts w:ascii="Times New Roman" w:hAnsi="Times New Roman" w:cs="Times New Roman"/>
          <w:sz w:val="24"/>
          <w:szCs w:val="24"/>
        </w:rPr>
        <w:t>язані з корупцією правопорушення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59CE">
        <w:rPr>
          <w:rFonts w:ascii="Times New Roman" w:hAnsi="Times New Roman" w:cs="Times New Roman"/>
          <w:sz w:val="24"/>
          <w:szCs w:val="24"/>
        </w:rPr>
        <w:t xml:space="preserve"> самостійно.</w:t>
      </w:r>
    </w:p>
    <w:p w14:paraId="6EA1EAD2" w14:textId="77777777" w:rsidR="000E6F5F" w:rsidRPr="009559CE" w:rsidRDefault="000E6F5F" w:rsidP="000E6F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BA6D01" w14:textId="77777777" w:rsidR="000E6F5F" w:rsidRDefault="000E6F5F" w:rsidP="000E6F5F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У разі якщо переможець процедури закупівлі</w:t>
      </w:r>
      <w:r>
        <w:rPr>
          <w:rFonts w:ascii="Times New Roman" w:hAnsi="Times New Roman" w:cs="Times New Roman"/>
          <w:sz w:val="24"/>
          <w:szCs w:val="24"/>
        </w:rPr>
        <w:t xml:space="preserve"> не надав у спосіб, зазначений у</w:t>
      </w:r>
      <w:r w:rsidRPr="008908CF">
        <w:rPr>
          <w:rFonts w:ascii="Times New Roman" w:hAnsi="Times New Roman" w:cs="Times New Roman"/>
          <w:sz w:val="24"/>
          <w:szCs w:val="24"/>
        </w:rPr>
        <w:t xml:space="preserve"> тендерній документації, документи,</w:t>
      </w:r>
      <w:r w:rsidRPr="00890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8CF">
        <w:rPr>
          <w:rFonts w:ascii="Times New Roman" w:hAnsi="Times New Roman" w:cs="Times New Roman"/>
          <w:sz w:val="24"/>
          <w:szCs w:val="24"/>
        </w:rPr>
        <w:t>що підт</w:t>
      </w:r>
      <w:r>
        <w:rPr>
          <w:rFonts w:ascii="Times New Roman" w:hAnsi="Times New Roman" w:cs="Times New Roman"/>
          <w:sz w:val="24"/>
          <w:szCs w:val="24"/>
        </w:rPr>
        <w:t>верджують відсутність підстав, у</w:t>
      </w:r>
      <w:r w:rsidRPr="008908CF">
        <w:rPr>
          <w:rFonts w:ascii="Times New Roman" w:hAnsi="Times New Roman" w:cs="Times New Roman"/>
          <w:sz w:val="24"/>
          <w:szCs w:val="24"/>
        </w:rPr>
        <w:t>становлених Особливостями, або надав документи, які не відповідають вимогам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08CF">
        <w:rPr>
          <w:rFonts w:ascii="Times New Roman" w:hAnsi="Times New Roman" w:cs="Times New Roman"/>
          <w:sz w:val="24"/>
          <w:szCs w:val="24"/>
        </w:rPr>
        <w:t xml:space="preserve"> визначеним у тендерній документації, або надав їх з порушенням строків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08CF">
        <w:rPr>
          <w:rFonts w:ascii="Times New Roman" w:hAnsi="Times New Roman" w:cs="Times New Roman"/>
          <w:sz w:val="24"/>
          <w:szCs w:val="24"/>
        </w:rPr>
        <w:t xml:space="preserve"> визначених </w:t>
      </w:r>
      <w:r w:rsidRPr="008908CF">
        <w:rPr>
          <w:rFonts w:ascii="Times New Roman" w:hAnsi="Times New Roman" w:cs="Times New Roman"/>
          <w:color w:val="444746"/>
          <w:sz w:val="24"/>
          <w:szCs w:val="24"/>
          <w:highlight w:val="white"/>
        </w:rPr>
        <w:t>тендерною документацією</w:t>
      </w:r>
      <w:r w:rsidRPr="003F1FAD">
        <w:rPr>
          <w:rFonts w:ascii="Times New Roman" w:hAnsi="Times New Roman" w:cs="Times New Roman"/>
          <w:color w:val="444746"/>
          <w:sz w:val="24"/>
          <w:szCs w:val="24"/>
          <w:highlight w:val="white"/>
        </w:rPr>
        <w:t>,</w:t>
      </w:r>
      <w:r w:rsidRPr="008908CF">
        <w:rPr>
          <w:rFonts w:ascii="Roboto" w:hAnsi="Roboto" w:cs="Roboto"/>
          <w:color w:val="444746"/>
          <w:sz w:val="24"/>
          <w:szCs w:val="24"/>
          <w:highlight w:val="white"/>
        </w:rPr>
        <w:t xml:space="preserve"> </w:t>
      </w:r>
      <w:r w:rsidRPr="008908CF">
        <w:rPr>
          <w:rFonts w:ascii="Times New Roman" w:hAnsi="Times New Roman" w:cs="Times New Roman"/>
          <w:sz w:val="24"/>
          <w:szCs w:val="24"/>
        </w:rPr>
        <w:t xml:space="preserve">замовник відхиляє його на підставі абзацу третього підпункту 3 пункту 44 Особливостей, а саме: переможець процедури закупівлі </w:t>
      </w:r>
      <w:r w:rsidRPr="008908CF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не надав у спосіб, зазначений </w:t>
      </w:r>
      <w:r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у</w:t>
      </w:r>
      <w:r w:rsidRPr="008908CF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тендерній документації, документи, що підтверджують відсутність підстав, визначених у </w:t>
      </w:r>
      <w:hyperlink r:id="rId8" w:anchor="n618">
        <w:r w:rsidRPr="008908CF">
          <w:rPr>
            <w:rFonts w:ascii="Times New Roman" w:hAnsi="Times New Roman" w:cs="Times New Roman"/>
            <w:sz w:val="24"/>
            <w:szCs w:val="24"/>
            <w:highlight w:val="white"/>
          </w:rPr>
          <w:t>підпунктах 3</w:t>
        </w:r>
      </w:hyperlink>
      <w:r w:rsidRPr="008908CF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hyperlink r:id="rId9" w:anchor="n620">
        <w:r w:rsidRPr="008908CF">
          <w:rPr>
            <w:rFonts w:ascii="Times New Roman" w:hAnsi="Times New Roman" w:cs="Times New Roman"/>
            <w:sz w:val="24"/>
            <w:szCs w:val="24"/>
            <w:highlight w:val="white"/>
          </w:rPr>
          <w:t>5</w:t>
        </w:r>
      </w:hyperlink>
      <w:r w:rsidRPr="008908CF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hyperlink r:id="rId10" w:anchor="n621">
        <w:r w:rsidRPr="008908CF">
          <w:rPr>
            <w:rFonts w:ascii="Times New Roman" w:hAnsi="Times New Roman" w:cs="Times New Roman"/>
            <w:sz w:val="24"/>
            <w:szCs w:val="24"/>
            <w:highlight w:val="white"/>
          </w:rPr>
          <w:t>6</w:t>
        </w:r>
      </w:hyperlink>
      <w:r w:rsidRPr="008908CF">
        <w:rPr>
          <w:rFonts w:ascii="Times New Roman" w:hAnsi="Times New Roman" w:cs="Times New Roman"/>
          <w:sz w:val="24"/>
          <w:szCs w:val="24"/>
          <w:highlight w:val="white"/>
        </w:rPr>
        <w:t xml:space="preserve"> і </w:t>
      </w:r>
      <w:hyperlink r:id="rId11" w:anchor="n627">
        <w:r w:rsidRPr="008908CF">
          <w:rPr>
            <w:rFonts w:ascii="Times New Roman" w:hAnsi="Times New Roman" w:cs="Times New Roman"/>
            <w:sz w:val="24"/>
            <w:szCs w:val="24"/>
            <w:highlight w:val="white"/>
          </w:rPr>
          <w:t>12</w:t>
        </w:r>
      </w:hyperlink>
      <w:r w:rsidRPr="008908CF">
        <w:rPr>
          <w:rFonts w:ascii="Times New Roman" w:hAnsi="Times New Roman" w:cs="Times New Roman"/>
          <w:sz w:val="24"/>
          <w:szCs w:val="24"/>
          <w:highlight w:val="white"/>
        </w:rPr>
        <w:t xml:space="preserve"> пункту 47 Особливостей</w:t>
      </w:r>
      <w:r w:rsidRPr="008908CF">
        <w:rPr>
          <w:rFonts w:ascii="Times New Roman" w:hAnsi="Times New Roman" w:cs="Times New Roman"/>
          <w:i/>
          <w:sz w:val="24"/>
          <w:szCs w:val="24"/>
        </w:rPr>
        <w:t>.</w:t>
      </w:r>
    </w:p>
    <w:p w14:paraId="726FCDD5" w14:textId="77777777" w:rsidR="0036503B" w:rsidRDefault="0036503B"/>
    <w:sectPr w:rsidR="00365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5F"/>
    <w:rsid w:val="000E6F5F"/>
    <w:rsid w:val="0036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5A73"/>
  <w15:chartTrackingRefBased/>
  <w15:docId w15:val="{9290D3C8-5E43-4AC1-9446-EADB2985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E6F5F"/>
    <w:rPr>
      <w:rFonts w:ascii="Calibri" w:eastAsia="Times New Roman" w:hAnsi="Calibri" w:cs="Calibri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78-2022-%D0%B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178-2022-%D0%B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178-2022-%D0%BF" TargetMode="External"/><Relationship Id="rId11" Type="http://schemas.openxmlformats.org/officeDocument/2006/relationships/hyperlink" Target="https://zakon.rada.gov.ua/laws/show/1178-2022-%D0%BF" TargetMode="External"/><Relationship Id="rId5" Type="http://schemas.openxmlformats.org/officeDocument/2006/relationships/hyperlink" Target="https://zakon.rada.gov.ua/laws/show/1178-2022-%D0%BF" TargetMode="External"/><Relationship Id="rId10" Type="http://schemas.openxmlformats.org/officeDocument/2006/relationships/hyperlink" Target="https://zakon.rada.gov.ua/laws/show/1178-2022-%D0%BF" TargetMode="External"/><Relationship Id="rId4" Type="http://schemas.openxmlformats.org/officeDocument/2006/relationships/hyperlink" Target="https://zakon.rada.gov.ua/laws/show/1178-2022-%D0%BF" TargetMode="External"/><Relationship Id="rId9" Type="http://schemas.openxmlformats.org/officeDocument/2006/relationships/hyperlink" Target="https://zakon.rada.gov.ua/laws/show/1178-2022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2024-05-10T08:36:00Z</dcterms:created>
  <dcterms:modified xsi:type="dcterms:W3CDTF">2024-05-10T08:36:00Z</dcterms:modified>
</cp:coreProperties>
</file>