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D08C" w14:textId="77777777" w:rsidR="00612E68" w:rsidRPr="00612E68" w:rsidRDefault="00612E68" w:rsidP="00612E6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r w:rsidRPr="00612E6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UA"/>
          <w14:ligatures w14:val="none"/>
        </w:rPr>
        <w:t>ПЕРЕЛІК</w:t>
      </w:r>
      <w:r w:rsidRPr="00612E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br/>
      </w:r>
      <w:proofErr w:type="spellStart"/>
      <w:r w:rsidRPr="00612E6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UA"/>
          <w14:ligatures w14:val="none"/>
        </w:rPr>
        <w:t>автоматичних</w:t>
      </w:r>
      <w:proofErr w:type="spellEnd"/>
      <w:r w:rsidRPr="00612E6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UA"/>
          <w14:ligatures w14:val="none"/>
        </w:rPr>
        <w:t xml:space="preserve"> </w:t>
      </w:r>
      <w:proofErr w:type="spellStart"/>
      <w:r w:rsidRPr="00612E6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UA"/>
          <w14:ligatures w14:val="none"/>
        </w:rPr>
        <w:t>індикаторів</w:t>
      </w:r>
      <w:proofErr w:type="spellEnd"/>
      <w:r w:rsidRPr="00612E6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UA"/>
          <w14:ligatures w14:val="none"/>
        </w:rPr>
        <w:t xml:space="preserve"> </w:t>
      </w:r>
      <w:proofErr w:type="spellStart"/>
      <w:r w:rsidRPr="00612E6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UA"/>
          <w14:ligatures w14:val="none"/>
        </w:rPr>
        <w:t>ризиків</w:t>
      </w:r>
      <w:proofErr w:type="spellEnd"/>
    </w:p>
    <w:tbl>
      <w:tblPr>
        <w:tblW w:w="5000" w:type="pct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3480"/>
        <w:gridCol w:w="3907"/>
        <w:gridCol w:w="811"/>
      </w:tblGrid>
      <w:tr w:rsidR="00612E68" w:rsidRPr="00612E68" w14:paraId="4CEE0B75" w14:textId="77777777" w:rsidTr="00612E68">
        <w:trPr>
          <w:trHeight w:val="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B5CE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bookmarkStart w:id="0" w:name="n5"/>
            <w:bookmarkEnd w:id="0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Код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індикатора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38062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Назва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індикатора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ризику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50BFC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Опис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індикатора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DA760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Умовна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вага</w:t>
            </w:r>
          </w:p>
        </w:tc>
      </w:tr>
      <w:tr w:rsidR="00612E68" w:rsidRPr="00612E68" w14:paraId="57FF8E01" w14:textId="77777777" w:rsidTr="00612E68">
        <w:trPr>
          <w:trHeight w:val="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A748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951D8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9AD6F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36163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4</w:t>
            </w:r>
          </w:p>
        </w:tc>
      </w:tr>
      <w:tr w:rsidR="00612E68" w:rsidRPr="00612E68" w14:paraId="73730EA5" w14:textId="77777777" w:rsidTr="00612E68">
        <w:trPr>
          <w:trHeight w:val="80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79B8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16316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Використання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відсутності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законодавчих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підстав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двічі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відмінені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відкритих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торгів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713DF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застосовує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але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виявлено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відкритих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торгів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придбання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такого самого предмета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у тому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числі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частково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(за лотом),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були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відмінені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відсутність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достатньої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кількості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62200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6A32D8CF" w14:textId="77777777" w:rsidTr="00612E68">
        <w:trPr>
          <w:trHeight w:val="11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5BE0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574C7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Використання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відсутності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законодавчих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підстав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товару)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1E114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застосовує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для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обсягу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товару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тими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самими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технічними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характеристиками в того самого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умови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обсягу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товару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була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здійснена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трьох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після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основного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50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відсотків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ціни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але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виявлено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того самого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88CD2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4177897E" w14:textId="77777777" w:rsidTr="00612E68">
        <w:trPr>
          <w:trHeight w:val="11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46B4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RISK-1-2-1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84096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Використання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відсутності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законодавчих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підстав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68F43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застосовує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для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аналогічних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того самого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умови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була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здійснена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трьох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після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основного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того самого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та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50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відсотків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ціни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основного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але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виявлено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того самого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6D558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799A6CEB" w14:textId="77777777" w:rsidTr="00612E68">
        <w:trPr>
          <w:trHeight w:val="68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2720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RISK-1-3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3C51E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Використання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відсутності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законодавчих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підстав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невідповідність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підстав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предмета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1FC87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зазначає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обґрунтування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яке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відповідає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обраній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підставі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5A4F2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5A72E8D5" w14:textId="77777777" w:rsidTr="00612E68">
        <w:trPr>
          <w:trHeight w:val="68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15B9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33C98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порядку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C7552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англійською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мовою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та/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очікувана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вартість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суму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еквівалентну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133 тис.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євро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1A7E7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3CB1591F" w14:textId="77777777" w:rsidTr="00612E68">
        <w:trPr>
          <w:trHeight w:val="68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B1D6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RISK-1-4-1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83D31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порядку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459E3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англійською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мовою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очікувана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вартість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суму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еквівалентну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5 150 тис.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євро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D3E97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7E8FF998" w14:textId="77777777" w:rsidTr="00612E68">
        <w:trPr>
          <w:trHeight w:val="80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4C5A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0EF41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відомостями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рамкову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угоду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B6727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відомостями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рамкову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угоду (у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разі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рамковими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угодами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) (не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пізніше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сім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робочих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дня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рамкової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угоди)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5218D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2830E4D7" w14:textId="77777777" w:rsidTr="00612E68">
        <w:trPr>
          <w:trHeight w:val="6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7485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4ED87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повідомлення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внесення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змін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D43E1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повідомлення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внесення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змін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трьох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робочих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дня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внесення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таких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змін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5F4D9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759ED768" w14:textId="77777777" w:rsidTr="00612E68">
        <w:trPr>
          <w:trHeight w:val="7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7C20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6C648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яку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оцінки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найбільш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економічно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вигідною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59A05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понад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п’ять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робочих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)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яку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оцінки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найбільш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економічно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вигідною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та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повідомлення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продовження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68981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49F3610B" w14:textId="77777777" w:rsidTr="00612E68">
        <w:trPr>
          <w:trHeight w:val="89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AAE0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RISK-1-7-1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B46A4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продовженого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яку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оцінки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найбільш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економічно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вигідною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5D6CF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понад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20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робочих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)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яку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оцінки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найбільш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економічно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вигідною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2B589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0,2</w:t>
            </w:r>
          </w:p>
        </w:tc>
      </w:tr>
      <w:tr w:rsidR="00612E68" w:rsidRPr="00612E68" w14:paraId="24B4392F" w14:textId="77777777" w:rsidTr="00612E68">
        <w:trPr>
          <w:trHeight w:val="113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EACF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RISK-1-8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9DCAD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Розмір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забезпечення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встановлених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4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Законом </w:t>
              </w:r>
              <w:proofErr w:type="spellStart"/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України</w:t>
              </w:r>
              <w:proofErr w:type="spellEnd"/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 «Про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публічні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»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далі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- Закон)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граничних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значень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7B1E1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забезпечення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розмірі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3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відсотки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очікуваної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вартості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3DB0C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44AC4462" w14:textId="77777777" w:rsidTr="00612E68">
        <w:trPr>
          <w:trHeight w:val="7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286F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RISK-1-8-1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00386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Розмір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забезпечення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встановлених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5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граничних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значень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80814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забезпечення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розмірі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0,5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відсотка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очікуваної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вартості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EBC9D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5E1B57CE" w14:textId="77777777" w:rsidTr="00612E68">
        <w:trPr>
          <w:trHeight w:val="7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2B4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32490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6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281E0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без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7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дорівнює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200 тис.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15E5B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0,2</w:t>
            </w:r>
          </w:p>
        </w:tc>
      </w:tr>
      <w:tr w:rsidR="00612E68" w:rsidRPr="00612E68" w14:paraId="23FFA79E" w14:textId="77777777" w:rsidTr="00612E68">
        <w:trPr>
          <w:trHeight w:val="6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4530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RISK-1-9-1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F106A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8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9A3FB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без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9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дорівнює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1,5 млн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8A342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0,2</w:t>
            </w:r>
          </w:p>
        </w:tc>
      </w:tr>
      <w:tr w:rsidR="00612E68" w:rsidRPr="00612E68" w14:paraId="5DA3467A" w14:textId="77777777" w:rsidTr="00612E68">
        <w:trPr>
          <w:trHeight w:val="7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E1E2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67C27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роз’яснень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9D2D1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трьох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робочих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дня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звернення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роз’ясненнями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усунення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/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роз’яснення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таке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звернення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та/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/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його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строків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D6E88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0,4</w:t>
            </w:r>
          </w:p>
        </w:tc>
      </w:tr>
      <w:tr w:rsidR="00612E68" w:rsidRPr="00612E68" w14:paraId="79FAC534" w14:textId="77777777" w:rsidTr="00612E68">
        <w:trPr>
          <w:trHeight w:val="12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3A27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0BA70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відповіді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звернення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інформації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стосовно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причин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невідповідності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його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умовам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12EF6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відповіді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п’яти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дня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надходження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такого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звернення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систему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додаткової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інформації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стосовно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причин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невідповідності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його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умовам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відхилена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7685E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479E951A" w14:textId="77777777" w:rsidTr="00612E68">
        <w:trPr>
          <w:trHeight w:val="89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C4C2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RISK-1-12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B1921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разі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публікацією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англійською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мовою)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3E38B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понад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20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робочих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)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разі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очікувана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вартість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суму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еквівалентну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133 тис.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євро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13E0A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079636BB" w14:textId="77777777" w:rsidTr="00612E68">
        <w:trPr>
          <w:trHeight w:val="4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ADAE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3C2B8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Невиконання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рішення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органу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оскарження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5DC31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Після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прийнятого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органом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оскарження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рішення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заходів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усунення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11166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4AACC537" w14:textId="77777777" w:rsidTr="00612E68">
        <w:trPr>
          <w:trHeight w:val="29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E635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F53FC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звіту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виконання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9BB41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звіту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виконання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у строки,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встановлені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0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58471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2CC09030" w14:textId="77777777" w:rsidTr="00612E68">
        <w:trPr>
          <w:trHeight w:val="53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6AE8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31C82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D7937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Відсутність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/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спрощеної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40671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3E78913D" w14:textId="77777777" w:rsidTr="00612E68">
        <w:trPr>
          <w:trHeight w:val="7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8544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77307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8C2AD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договір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пізніше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20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дня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прийняття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рішення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намір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укласти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договір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відповідно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5538F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7C6C2A4A" w14:textId="77777777" w:rsidTr="00612E68">
        <w:trPr>
          <w:trHeight w:val="6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89BB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2A8B0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256E2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договір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пізніше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35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дня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повідомлення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намір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укласти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договір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00A94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74FBF31F" w14:textId="77777777" w:rsidTr="00612E68">
        <w:trPr>
          <w:trHeight w:val="10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F5CF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BEEC0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Несвоєчасне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результатами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нагальна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потреба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711F5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договір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підстав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1" w:anchor="n1727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пунктом 3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частини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другої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статті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40,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пізніше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20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дня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повідомлення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намір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укласти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договір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переговорної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CBDD7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3A646235" w14:textId="77777777" w:rsidTr="00612E68">
        <w:trPr>
          <w:trHeight w:val="10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AE4C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16503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без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/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спрощених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10769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1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звітів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договір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без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використання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однаковим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кодом предмета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відповідно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begin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instrText>HYPERLINK "https://zakon.rada.gov.ua/laws/show/v1749731-15" \l "n14" \t "_blank"</w:instrTex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separate"/>
            </w:r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національного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класифікатора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України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 </w: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end"/>
            </w:r>
            <w:hyperlink r:id="rId12" w:anchor="n14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ДК 021:2015</w:t>
              </w:r>
            </w:hyperlink>
            <w:hyperlink r:id="rId13" w:anchor="n14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 «</w:t>
              </w:r>
              <w:proofErr w:type="spellStart"/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Єдиний</w:t>
              </w:r>
              <w:proofErr w:type="spellEnd"/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 </w:t>
              </w:r>
              <w:proofErr w:type="spellStart"/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закупівельний</w:t>
              </w:r>
              <w:proofErr w:type="spellEnd"/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 словник»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далі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-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Єдиний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закупівельний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словник) 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загальну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50 тис.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A1988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0,3</w:t>
            </w:r>
          </w:p>
        </w:tc>
      </w:tr>
      <w:tr w:rsidR="00612E68" w:rsidRPr="00612E68" w14:paraId="321B8B43" w14:textId="77777777" w:rsidTr="00612E68">
        <w:trPr>
          <w:trHeight w:val="29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860D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4742C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D910F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6C198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14256A4D" w14:textId="77777777" w:rsidTr="00612E68">
        <w:trPr>
          <w:trHeight w:val="7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A468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319EC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відкритих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торгів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конкурентного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діалогу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A55FC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Недотримання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оприлюднити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установлені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4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строки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пізніше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15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встановленого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кінцевого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576E0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0,4</w:t>
            </w:r>
          </w:p>
        </w:tc>
      </w:tr>
      <w:tr w:rsidR="00612E68" w:rsidRPr="00612E68" w14:paraId="6D23CBE6" w14:textId="77777777" w:rsidTr="00612E68">
        <w:trPr>
          <w:trHeight w:val="10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BB86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RISK-1-21-1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8E3C9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відкритих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торгів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конкурентного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діалогу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публікацією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англійською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мовою)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B7E37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Недотримання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оприлюднити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строки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пізніше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30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встановленого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кінцевого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строку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подання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9D5DC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0,4</w:t>
            </w:r>
          </w:p>
        </w:tc>
      </w:tr>
      <w:tr w:rsidR="00612E68" w:rsidRPr="00612E68" w14:paraId="2EE30324" w14:textId="77777777" w:rsidTr="00612E68">
        <w:trPr>
          <w:trHeight w:val="11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2154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069BF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Переможцем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обрано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окрім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заповненої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форми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завантажено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електронної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системи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жодного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файлу та/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документа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99E01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ймовірність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5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Закону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невідхилення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її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невідповідність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умовам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35D2C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74D238E4" w14:textId="77777777" w:rsidTr="00612E68">
        <w:trPr>
          <w:trHeight w:val="6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C4B6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E67C2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всіх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крім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переможця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3598B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ймовірність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ризику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упередженого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метою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конкретного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переможцем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принципів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2FA4C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5C159E45" w14:textId="77777777" w:rsidTr="00612E68">
        <w:trPr>
          <w:trHeight w:val="6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D7CA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RISK-2-4-1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0446B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всіх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крім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переможця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19ED3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ймовірність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ризику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упередженого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метою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конкретного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переможцем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порушенням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принципів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AD3D4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0,5</w:t>
            </w:r>
          </w:p>
        </w:tc>
      </w:tr>
      <w:tr w:rsidR="00612E68" w:rsidRPr="00612E68" w14:paraId="5B2AF6C4" w14:textId="77777777" w:rsidTr="00612E68">
        <w:trPr>
          <w:trHeight w:val="6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59B1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FC0CB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Уникнення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передбачені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6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807AE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календарного року проводить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одним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самим кодом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begin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instrText>HYPERLINK "https://zakon.rada.gov.ua/laws/show/v1749731-15" \l "n14" \t "_blank"</w:instrTex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separate"/>
            </w:r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Єдиного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закупівельного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словника</w: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end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він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вже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здійснював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сумі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дорівнюють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200,0 тис.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F7F97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0F5F7E95" w14:textId="77777777" w:rsidTr="00612E68">
        <w:trPr>
          <w:trHeight w:val="11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9AC8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RISK-2-5-1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6D4D8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Уникнення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передбачені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7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44FA2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календарного року проводить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одним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самим кодом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begin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instrText>HYPERLINK "https://zakon.rada.gov.ua/laws/show/v1749731-15" \l "n14" \t "_blank"</w:instrTex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separate"/>
            </w:r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Єдиного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закупівельного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словника</w: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end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він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вже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здійснював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сумі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дорівнюють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1,0 млн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3CB10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21DED97E" w14:textId="77777777" w:rsidTr="00612E68">
        <w:trPr>
          <w:trHeight w:val="6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7E05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B624A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Уникнення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передбачені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8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A8D33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календарного року проводить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одним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самим кодом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begin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instrText>HYPERLINK "https://zakon.rada.gov.ua/laws/show/v1749731-15" \l "n14" \t "_blank"</w:instrTex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separate"/>
            </w:r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Єдиного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закупівельного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словника</w: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end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він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вже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здійснював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сумі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дорівнюють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1,5 млн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BCAA5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7B56DA19" w14:textId="77777777" w:rsidTr="00612E68">
        <w:trPr>
          <w:trHeight w:val="100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A781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RISK-2-6-1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EEB30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Уникнення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застосування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конкурентних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процедур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закупівель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передбачені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19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55BEF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календарного року проводить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одним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самим кодом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begin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instrText>HYPERLINK "https://zakon.rada.gov.ua/laws/show/v1749731-15" \l "n14" \t "_blank"</w:instrTex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separate"/>
            </w:r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Єдиного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закупівельного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словника</w: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end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він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вже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здійснював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сумі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дорівнюють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перевищують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5,0 млн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8C243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4030A6E0" w14:textId="77777777" w:rsidTr="00612E68">
        <w:trPr>
          <w:trHeight w:val="76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9FC2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4B1C7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Повторна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меж,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20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8EDE5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проводить не першу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спрощену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200 тис.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F4676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56349129" w14:textId="77777777" w:rsidTr="00612E68">
        <w:trPr>
          <w:trHeight w:val="11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EB6E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RISK-2-7-1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3B28A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Повторна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 xml:space="preserve">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меж,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21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93C17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проводить не першу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спрощену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1,0 млн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711B6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00F989AB" w14:textId="77777777" w:rsidTr="00612E68">
        <w:trPr>
          <w:trHeight w:val="6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1B6D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BF89D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Повторна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меж,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22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17674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проводить не першу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спрощену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1,5 млн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E2D45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344676EE" w14:textId="77777777" w:rsidTr="00612E68">
        <w:trPr>
          <w:trHeight w:val="101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31A1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RISK-2-8-1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ACF4A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Повторна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меж,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23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Законом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33235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здійснює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діяльність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або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декількох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окремих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сферах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проводить не першу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спрощену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постачальника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суму,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близькою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5 млн грн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DEAAA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0,1</w:t>
            </w:r>
          </w:p>
        </w:tc>
      </w:tr>
      <w:tr w:rsidR="00612E68" w:rsidRPr="00612E68" w14:paraId="2D3F7DDB" w14:textId="77777777" w:rsidTr="00612E68">
        <w:trPr>
          <w:trHeight w:val="77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586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4586B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найбільш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економічно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вигідної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4DFAC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найбільш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економічно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вигідну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переможцем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-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суб’єкта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господарювання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такий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попередньо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договори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трьома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різними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кодами 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begin"/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instrText>HYPERLINK "https://zakon.rada.gov.ua/laws/show/v1749731-15" \l "n14" \t "_blank"</w:instrTex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separate"/>
            </w:r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Єдиного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>закупівельного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color w:val="000099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словника</w:t>
            </w: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99F45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16AA537C" w14:textId="77777777" w:rsidTr="00612E68">
        <w:trPr>
          <w:trHeight w:val="5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C02A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8E28E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C3132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відкритих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торгів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вартість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133 тис.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євро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C1DF8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5591DB3C" w14:textId="77777777" w:rsidTr="00612E68">
        <w:trPr>
          <w:trHeight w:val="42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16A0E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RISK-2-10-1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5E62C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00D91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проведення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відкритих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торгів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вартість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перевищує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5 150 тис.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євро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943A6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27144D4F" w14:textId="77777777" w:rsidTr="00612E68">
        <w:trPr>
          <w:trHeight w:val="5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67C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5D6AF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Безпідставна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відміна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DCAE3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відміняє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 через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відсутність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подальшої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потреби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однак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кінця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року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такий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самий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самим предметом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1447D3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56A73565" w14:textId="77777777" w:rsidTr="00612E68">
        <w:trPr>
          <w:trHeight w:val="6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6998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9BC07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Безпідставне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тендеру таким,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відбувся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3407A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 таким,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відбувся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через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скорочення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видатків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здійснення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30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календарних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новий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самим предметом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154FE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541A1F52" w14:textId="77777777" w:rsidTr="00612E68">
        <w:trPr>
          <w:trHeight w:val="42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53C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lastRenderedPageBreak/>
              <w:t>RISK-2-14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57315A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Зміна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істотних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умов договору (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ціни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одиницю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товару)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131E2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Є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ймовірність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 </w:t>
            </w:r>
            <w:hyperlink r:id="rId24" w:tgtFrame="_blank" w:history="1">
              <w:r w:rsidRPr="00612E68">
                <w:rPr>
                  <w:rFonts w:ascii="Times New Roman" w:eastAsia="Times New Roman" w:hAnsi="Times New Roman" w:cs="Times New Roman"/>
                  <w:color w:val="000099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Закону</w:t>
              </w:r>
            </w:hyperlink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 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частині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зміни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ціни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одиницю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товару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один раз на 90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днів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79BB7B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64755947" w14:textId="77777777" w:rsidTr="00612E68">
        <w:trPr>
          <w:trHeight w:val="42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06B2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8A786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товарів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послуг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39CFB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обирає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одного і того самого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4 тендерах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року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різними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предметами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E2D0E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09DEF5D1" w14:textId="77777777" w:rsidTr="00612E68">
        <w:trPr>
          <w:trHeight w:val="42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EE27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RISK-2-15-1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71E73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робіт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одного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C0CF0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обирає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одного і того самого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ніж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у 4 тендерах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протягом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року за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різними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предметами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D2038C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17AC94D4" w14:textId="77777777" w:rsidTr="00612E68">
        <w:trPr>
          <w:trHeight w:val="6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9126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935A66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Відмова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підписання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FFCD40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Переможець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за результатами тендеру,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якому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передбачено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забезпечення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у строки,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встановлені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законодавством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укладає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договору про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закупівлю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внаслідок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чого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обирає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дорожчу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пропозицію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71F40D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64814067" w14:textId="77777777" w:rsidTr="00612E68">
        <w:trPr>
          <w:trHeight w:val="65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6577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E650E4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під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час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оскарження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процедури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аналогічним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предметом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B9FA71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разі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прийняття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скарги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розгляду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до моменту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прийняття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рішення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органом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оскарження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оголошує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новий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тендер з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аналогічним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предметом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C9A30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0,3</w:t>
            </w:r>
          </w:p>
        </w:tc>
      </w:tr>
      <w:tr w:rsidR="00612E68" w:rsidRPr="00612E68" w14:paraId="47A63959" w14:textId="77777777" w:rsidTr="00612E68">
        <w:trPr>
          <w:trHeight w:val="5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093F9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898828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трьох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39320F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три і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більше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при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цьому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залишилося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менше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невідхилених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4246E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0,5</w:t>
            </w:r>
          </w:p>
        </w:tc>
      </w:tr>
      <w:tr w:rsidR="00612E68" w:rsidRPr="00612E68" w14:paraId="704DC209" w14:textId="77777777" w:rsidTr="00612E68">
        <w:trPr>
          <w:trHeight w:val="40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2DEBA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RISK-2-19-1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5765C7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Відхилення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E865D2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Замовник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відхилив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пропозиції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учасників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одній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та при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цьому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цій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залишилося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менше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двох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невідхилених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тендерних</w:t>
            </w:r>
            <w:proofErr w:type="spellEnd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пропозицій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972405" w14:textId="77777777" w:rsidR="00612E68" w:rsidRPr="00612E68" w:rsidRDefault="00612E68" w:rsidP="00612E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612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0,2</w:t>
            </w:r>
          </w:p>
        </w:tc>
      </w:tr>
    </w:tbl>
    <w:p w14:paraId="0BA1AF91" w14:textId="77777777" w:rsidR="00322EB0" w:rsidRDefault="00322EB0"/>
    <w:sectPr w:rsidR="00322EB0" w:rsidSect="00165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68"/>
    <w:rsid w:val="0016542D"/>
    <w:rsid w:val="00322EB0"/>
    <w:rsid w:val="006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ECEA"/>
  <w15:chartTrackingRefBased/>
  <w15:docId w15:val="{84EE0B2F-3107-496D-9E36-8003394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customStyle="1" w:styleId="rvts23">
    <w:name w:val="rvts23"/>
    <w:basedOn w:val="a0"/>
    <w:rsid w:val="00612E68"/>
  </w:style>
  <w:style w:type="paragraph" w:customStyle="1" w:styleId="rvps12">
    <w:name w:val="rvps12"/>
    <w:basedOn w:val="a"/>
    <w:rsid w:val="0061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3">
    <w:name w:val="Hyperlink"/>
    <w:basedOn w:val="a0"/>
    <w:uiPriority w:val="99"/>
    <w:semiHidden/>
    <w:unhideWhenUsed/>
    <w:rsid w:val="00612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v1749731-15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922-19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v1749731-15" TargetMode="External"/><Relationship Id="rId17" Type="http://schemas.openxmlformats.org/officeDocument/2006/relationships/hyperlink" Target="https://zakon.rada.gov.ua/laws/show/922-1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s://zakon.rada.gov.ua/laws/show/922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922-19" TargetMode="External"/><Relationship Id="rId23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2713</Words>
  <Characters>15466</Characters>
  <Application>Microsoft Office Word</Application>
  <DocSecurity>0</DocSecurity>
  <Lines>128</Lines>
  <Paragraphs>36</Paragraphs>
  <ScaleCrop>false</ScaleCrop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2024-02-20T14:28:00Z</dcterms:created>
  <dcterms:modified xsi:type="dcterms:W3CDTF">2024-02-20T14:29:00Z</dcterms:modified>
</cp:coreProperties>
</file>