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C" w:rsidRPr="00726F16" w:rsidRDefault="00D04FAC" w:rsidP="00D04FAC">
      <w:pPr>
        <w:pStyle w:val="3ShiftAlt"/>
      </w:pPr>
      <w:r w:rsidRPr="00726F16">
        <w:t xml:space="preserve">Що слід зазначити в річному плані </w:t>
      </w:r>
      <w:proofErr w:type="spellStart"/>
      <w:r w:rsidRPr="00726F16">
        <w:t>закупівель</w:t>
      </w:r>
      <w:proofErr w:type="spellEnd"/>
      <w:r w:rsidRPr="00726F16">
        <w:t xml:space="preserve"> </w:t>
      </w:r>
      <w:bookmarkStart w:id="0" w:name="n413"/>
      <w:bookmarkEnd w:id="0"/>
    </w:p>
    <w:p w:rsidR="00D04FAC" w:rsidRPr="00726F16" w:rsidRDefault="00D04FAC" w:rsidP="00D04FAC">
      <w:pPr>
        <w:pStyle w:val="ShiftAlt"/>
        <w:numPr>
          <w:ilvl w:val="0"/>
          <w:numId w:val="3"/>
        </w:numPr>
      </w:pPr>
      <w:r w:rsidRPr="00726F16"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категорія.</w:t>
      </w:r>
    </w:p>
    <w:p w:rsidR="00D04FAC" w:rsidRPr="00726F16" w:rsidRDefault="00D04FAC" w:rsidP="00D04FAC">
      <w:pPr>
        <w:pStyle w:val="ShiftAlt"/>
        <w:numPr>
          <w:ilvl w:val="0"/>
          <w:numId w:val="3"/>
        </w:numPr>
      </w:pPr>
      <w:r w:rsidRPr="00726F16">
        <w:t>Назву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D04FAC" w:rsidRPr="00726F16" w:rsidRDefault="00D04FAC" w:rsidP="00D04FAC">
      <w:pPr>
        <w:pStyle w:val="ShiftAlt"/>
        <w:numPr>
          <w:ilvl w:val="0"/>
          <w:numId w:val="3"/>
        </w:numPr>
      </w:pPr>
      <w:r w:rsidRPr="00726F16">
        <w:t>Розмір бюджетного призначення та/або очікувана вартість предмета закупівлі</w:t>
      </w:r>
    </w:p>
    <w:p w:rsidR="00D04FAC" w:rsidRPr="00726F16" w:rsidRDefault="00D04FAC" w:rsidP="00D04FAC">
      <w:pPr>
        <w:pStyle w:val="ShiftAlt"/>
        <w:numPr>
          <w:ilvl w:val="0"/>
          <w:numId w:val="3"/>
        </w:numPr>
      </w:pPr>
      <w:r w:rsidRPr="00726F16">
        <w:t>Код економічної класифікації видатків бюджету (для бюджетних коштів)</w:t>
      </w:r>
    </w:p>
    <w:p w:rsidR="00D04FAC" w:rsidRPr="00726F16" w:rsidRDefault="00D04FAC" w:rsidP="00D04FAC">
      <w:pPr>
        <w:pStyle w:val="ShiftAlt"/>
        <w:numPr>
          <w:ilvl w:val="0"/>
          <w:numId w:val="3"/>
        </w:numPr>
      </w:pPr>
      <w:r w:rsidRPr="00726F16">
        <w:t>Вид закупівлі та орієнтовний початок проведення: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>процедура закупівлі — для замовників, визначених у пунктах 1—3 частини 1 статті 2 Закону, якщо вартість предмета закупівлі товару (товарів), послуги (послуг) дорівнює або перевищує 200 тис. грн, а робіт — 1,5 млн грн;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>процедура закупівлі — для замовників, визначених у пункті 4 частини 1 статті 2 Закону, якщо вартість предмета закупівлі товару (товарів), послуги (послуг) дорівнює або перевищує 1 млн грн, а робіт — 5 млн грн;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>спрощена закупівля — для замовників, визначених у пунктах 1-3 частини 1 статті 2 Закону, якщо вартість предмета закупівлі товару (товарів), послуги (послуг) менше ніж 200 тис. грн, а робіт — 1,5 млн грн;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>спрощена закупівля — для замовників, визначених у пункті 4 частини 1 статті 2 Закону, якщо вартість предмета закупівлі товару (товарів), послуги (послуг) менше ніж 1 млн грн, а робіт — 5 млн грн;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 xml:space="preserve">договір про закупівлю, укладений без використання електронної системи </w:t>
      </w:r>
      <w:proofErr w:type="spellStart"/>
      <w:r w:rsidRPr="00726F16">
        <w:t>закупівель</w:t>
      </w:r>
      <w:proofErr w:type="spellEnd"/>
      <w:r>
        <w:t>,</w:t>
      </w:r>
      <w:r w:rsidRPr="00726F16">
        <w:t xml:space="preserve"> — для замовників, визначених у пунктах 1—3 частини 1 статті 2 Закону, у разі здійснення закупівлі відповідно до частин 2 та 6 статті 3 Закону;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 xml:space="preserve">договір про закупівлю, укладений без використання електронної системи </w:t>
      </w:r>
      <w:proofErr w:type="spellStart"/>
      <w:r w:rsidRPr="00726F16">
        <w:t>закупівель</w:t>
      </w:r>
      <w:proofErr w:type="spellEnd"/>
      <w:r>
        <w:t>,</w:t>
      </w:r>
      <w:r w:rsidRPr="00726F16">
        <w:t xml:space="preserve"> — для замовників, визначених у пункті 4 частини 1 статті 2 Закону, у разі здійснення закупівлі відповідно до частин 2 та 6 статті 3 Закону.</w:t>
      </w:r>
    </w:p>
    <w:p w:rsidR="00D04FAC" w:rsidRPr="00726F16" w:rsidRDefault="00D04FAC" w:rsidP="00D04FAC">
      <w:pPr>
        <w:pStyle w:val="ShiftAlt"/>
        <w:numPr>
          <w:ilvl w:val="0"/>
          <w:numId w:val="2"/>
        </w:numPr>
      </w:pPr>
      <w:r w:rsidRPr="00726F16">
        <w:t>У разі застосування рамкової угоди зазначається: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>строк дії рамкової угоди;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>сторона рамкової угоди (замовник або централізована закупівельна організація, яка проводить закупівлю в інтересах замовника).</w:t>
      </w:r>
      <w:bookmarkStart w:id="1" w:name="_GoBack"/>
      <w:bookmarkEnd w:id="1"/>
    </w:p>
    <w:p w:rsidR="00D04FAC" w:rsidRPr="00726F16" w:rsidRDefault="00D04FAC" w:rsidP="00D04FAC">
      <w:pPr>
        <w:pStyle w:val="ShiftAlt"/>
      </w:pPr>
      <w:r w:rsidRPr="00726F16"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категорія, в інтересах яких проводиться закупівля за рамковою угодою;</w:t>
      </w:r>
    </w:p>
    <w:p w:rsidR="00D04FAC" w:rsidRPr="00726F16" w:rsidRDefault="00D04FAC" w:rsidP="00D04FAC">
      <w:pPr>
        <w:pStyle w:val="ShiftAlt"/>
        <w:numPr>
          <w:ilvl w:val="1"/>
          <w:numId w:val="3"/>
        </w:numPr>
      </w:pPr>
      <w:r w:rsidRPr="00726F16">
        <w:t>очікувана вартість з урахуванням усього запланованого строку дії рамкової угоди.</w:t>
      </w:r>
    </w:p>
    <w:p w:rsidR="00D04FAC" w:rsidRPr="00576AA4" w:rsidRDefault="00D04FAC" w:rsidP="00D04FAC">
      <w:pPr>
        <w:pStyle w:val="ShiftAlt"/>
        <w:jc w:val="right"/>
        <w:rPr>
          <w:rStyle w:val="Italic"/>
        </w:rPr>
      </w:pPr>
      <w:r w:rsidRPr="00576AA4">
        <w:rPr>
          <w:rStyle w:val="Italic"/>
        </w:rPr>
        <w:t>(із ч. 2 ст. 4 Закону про публічні закупівлі)</w:t>
      </w:r>
    </w:p>
    <w:p w:rsidR="008A2969" w:rsidRDefault="008A2969"/>
    <w:sectPr w:rsidR="008A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A18"/>
    <w:multiLevelType w:val="hybridMultilevel"/>
    <w:tmpl w:val="157EDC5C"/>
    <w:lvl w:ilvl="0" w:tplc="041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4E24A8C"/>
    <w:multiLevelType w:val="hybridMultilevel"/>
    <w:tmpl w:val="700ACCBC"/>
    <w:lvl w:ilvl="0" w:tplc="041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FA982530">
      <w:start w:val="2"/>
      <w:numFmt w:val="bullet"/>
      <w:lvlText w:val="-"/>
      <w:lvlJc w:val="left"/>
      <w:pPr>
        <w:ind w:left="1682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62163C54"/>
    <w:multiLevelType w:val="hybridMultilevel"/>
    <w:tmpl w:val="B28C2B9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D2"/>
    <w:rsid w:val="008172D2"/>
    <w:rsid w:val="008A2969"/>
    <w:rsid w:val="00D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D04FAC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D04FAC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Italic">
    <w:name w:val="Italic"/>
    <w:rsid w:val="00D04FAC"/>
    <w:rPr>
      <w:rFonts w:ascii="Times New Roman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D04FAC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D04FAC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Italic">
    <w:name w:val="Italic"/>
    <w:rsid w:val="00D04FAC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Осадча</dc:creator>
  <cp:keywords/>
  <dc:description/>
  <cp:lastModifiedBy>Оксана Осадча</cp:lastModifiedBy>
  <cp:revision>2</cp:revision>
  <dcterms:created xsi:type="dcterms:W3CDTF">2020-01-02T11:52:00Z</dcterms:created>
  <dcterms:modified xsi:type="dcterms:W3CDTF">2020-01-02T11:54:00Z</dcterms:modified>
</cp:coreProperties>
</file>