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10F40" w14:textId="77777777" w:rsidR="00000000" w:rsidRDefault="00000000">
      <w:pPr>
        <w:pStyle w:val="1"/>
        <w:rPr>
          <w:rFonts w:eastAsia="Times New Roman"/>
        </w:rPr>
      </w:pPr>
      <w:r>
        <w:rPr>
          <w:rFonts w:eastAsia="Times New Roman"/>
        </w:rPr>
        <w:t>Нові нормативно-правові акти та зміни в законодавстві за лютий 2024 року</w:t>
      </w:r>
    </w:p>
    <w:p w14:paraId="6082DB9F" w14:textId="77777777" w:rsidR="00000000" w:rsidRDefault="00000000">
      <w:pPr>
        <w:pStyle w:val="anchor"/>
        <w:divId w:val="1414009360"/>
      </w:pPr>
      <w:r>
        <w:rPr>
          <w:rStyle w:val="a6"/>
        </w:rPr>
        <w:t>Перегляньте зміни за минулі місяці:</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669"/>
        <w:gridCol w:w="4670"/>
      </w:tblGrid>
      <w:tr w:rsidR="00000000" w14:paraId="3F8879DF" w14:textId="77777777">
        <w:trPr>
          <w:divId w:val="1414009360"/>
          <w:tblCellSpacing w:w="15" w:type="dxa"/>
        </w:trPr>
        <w:tc>
          <w:tcPr>
            <w:tcW w:w="24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3046A5" w14:textId="77777777" w:rsidR="00000000" w:rsidRDefault="00000000">
            <w:pPr>
              <w:pStyle w:val="anchor"/>
            </w:pPr>
            <w:r>
              <w:rPr>
                <w:rStyle w:val="a6"/>
              </w:rPr>
              <w:t xml:space="preserve">• </w:t>
            </w:r>
            <w:hyperlink r:id="rId5" w:tgtFrame="_blank" w:history="1">
              <w:r>
                <w:rPr>
                  <w:rStyle w:val="a3"/>
                </w:rPr>
                <w:t>січень 2024 року</w:t>
              </w:r>
            </w:hyperlink>
          </w:p>
          <w:p w14:paraId="3212E04A" w14:textId="77777777" w:rsidR="00000000" w:rsidRDefault="00000000">
            <w:pPr>
              <w:pStyle w:val="anchor"/>
            </w:pPr>
            <w:r>
              <w:rPr>
                <w:rStyle w:val="a6"/>
              </w:rPr>
              <w:t xml:space="preserve">• </w:t>
            </w:r>
            <w:hyperlink r:id="rId6" w:tgtFrame="_blank" w:history="1">
              <w:r>
                <w:rPr>
                  <w:rStyle w:val="a3"/>
                </w:rPr>
                <w:t>грудень 2023 року</w:t>
              </w:r>
            </w:hyperlink>
          </w:p>
        </w:tc>
        <w:tc>
          <w:tcPr>
            <w:tcW w:w="24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334124" w14:textId="77777777" w:rsidR="00000000" w:rsidRDefault="00000000">
            <w:pPr>
              <w:pStyle w:val="anchor"/>
            </w:pPr>
            <w:r>
              <w:rPr>
                <w:rStyle w:val="a6"/>
              </w:rPr>
              <w:t xml:space="preserve">• </w:t>
            </w:r>
            <w:hyperlink r:id="rId7" w:tgtFrame="_blank" w:history="1">
              <w:r>
                <w:rPr>
                  <w:rStyle w:val="a3"/>
                </w:rPr>
                <w:t>листопад 2023 року</w:t>
              </w:r>
            </w:hyperlink>
          </w:p>
          <w:p w14:paraId="5E56B5C7" w14:textId="77777777" w:rsidR="00000000" w:rsidRDefault="00000000">
            <w:pPr>
              <w:pStyle w:val="anchor"/>
            </w:pPr>
            <w:r>
              <w:rPr>
                <w:rStyle w:val="a6"/>
              </w:rPr>
              <w:t xml:space="preserve">• </w:t>
            </w:r>
            <w:hyperlink r:id="rId8" w:tgtFrame="_blank" w:history="1">
              <w:r>
                <w:rPr>
                  <w:rStyle w:val="a3"/>
                </w:rPr>
                <w:t>жовтень 2023 року</w:t>
              </w:r>
            </w:hyperlink>
          </w:p>
        </w:tc>
      </w:tr>
    </w:tbl>
    <w:p w14:paraId="71B82D09" w14:textId="77777777" w:rsidR="00000000" w:rsidRDefault="00000000">
      <w:pPr>
        <w:divId w:val="1414009360"/>
        <w:rPr>
          <w:rFonts w:eastAsia="Times New Roman"/>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2"/>
        <w:gridCol w:w="5403"/>
        <w:gridCol w:w="2284"/>
      </w:tblGrid>
      <w:tr w:rsidR="00000000" w14:paraId="3018CD78" w14:textId="77777777">
        <w:trPr>
          <w:divId w:val="1414009360"/>
          <w:trHeight w:val="152"/>
          <w:tblCellSpacing w:w="0" w:type="dxa"/>
        </w:trPr>
        <w:tc>
          <w:tcPr>
            <w:tcW w:w="1592" w:type="dxa"/>
            <w:tcBorders>
              <w:top w:val="outset" w:sz="6" w:space="0" w:color="auto"/>
              <w:left w:val="outset" w:sz="6" w:space="0" w:color="auto"/>
              <w:bottom w:val="outset" w:sz="6" w:space="0" w:color="auto"/>
              <w:right w:val="outset" w:sz="6" w:space="0" w:color="auto"/>
            </w:tcBorders>
            <w:hideMark/>
          </w:tcPr>
          <w:p w14:paraId="41A4A7FB" w14:textId="77777777" w:rsidR="00000000" w:rsidRDefault="00000000">
            <w:pPr>
              <w:pStyle w:val="anchor"/>
              <w:jc w:val="center"/>
            </w:pPr>
            <w:r>
              <w:rPr>
                <w:b/>
                <w:bCs/>
              </w:rPr>
              <w:t>Дата набрання чинності</w:t>
            </w:r>
          </w:p>
        </w:tc>
        <w:tc>
          <w:tcPr>
            <w:tcW w:w="5206" w:type="dxa"/>
            <w:tcBorders>
              <w:top w:val="outset" w:sz="6" w:space="0" w:color="auto"/>
              <w:left w:val="outset" w:sz="6" w:space="0" w:color="auto"/>
              <w:bottom w:val="outset" w:sz="6" w:space="0" w:color="auto"/>
              <w:right w:val="outset" w:sz="6" w:space="0" w:color="auto"/>
            </w:tcBorders>
            <w:hideMark/>
          </w:tcPr>
          <w:p w14:paraId="64CD2FCF" w14:textId="77777777" w:rsidR="00000000" w:rsidRDefault="00000000">
            <w:pPr>
              <w:pStyle w:val="anchor"/>
              <w:jc w:val="center"/>
            </w:pPr>
            <w:r>
              <w:rPr>
                <w:b/>
                <w:bCs/>
              </w:rPr>
              <w:t>Суть змін</w:t>
            </w:r>
          </w:p>
        </w:tc>
        <w:tc>
          <w:tcPr>
            <w:tcW w:w="1818" w:type="dxa"/>
            <w:tcBorders>
              <w:top w:val="outset" w:sz="6" w:space="0" w:color="auto"/>
              <w:left w:val="outset" w:sz="6" w:space="0" w:color="auto"/>
              <w:bottom w:val="outset" w:sz="6" w:space="0" w:color="auto"/>
              <w:right w:val="outset" w:sz="6" w:space="0" w:color="auto"/>
            </w:tcBorders>
            <w:hideMark/>
          </w:tcPr>
          <w:p w14:paraId="2EAFFA0F" w14:textId="77777777" w:rsidR="00000000" w:rsidRDefault="00000000">
            <w:pPr>
              <w:pStyle w:val="anchor"/>
              <w:jc w:val="center"/>
            </w:pPr>
            <w:r>
              <w:rPr>
                <w:b/>
                <w:bCs/>
              </w:rPr>
              <w:t>Підстава</w:t>
            </w:r>
          </w:p>
        </w:tc>
      </w:tr>
      <w:tr w:rsidR="00000000" w14:paraId="21953373" w14:textId="77777777">
        <w:trPr>
          <w:divId w:val="1414009360"/>
          <w:trHeight w:val="152"/>
          <w:tblCellSpacing w:w="0" w:type="dxa"/>
        </w:trPr>
        <w:tc>
          <w:tcPr>
            <w:tcW w:w="1592" w:type="dxa"/>
            <w:tcBorders>
              <w:top w:val="outset" w:sz="6" w:space="0" w:color="auto"/>
              <w:left w:val="outset" w:sz="6" w:space="0" w:color="auto"/>
              <w:bottom w:val="outset" w:sz="6" w:space="0" w:color="auto"/>
              <w:right w:val="outset" w:sz="6" w:space="0" w:color="auto"/>
            </w:tcBorders>
            <w:hideMark/>
          </w:tcPr>
          <w:p w14:paraId="428F3B07" w14:textId="77777777" w:rsidR="00000000" w:rsidRDefault="00000000">
            <w:pPr>
              <w:pStyle w:val="anchor"/>
            </w:pPr>
            <w:r>
              <w:t>Не набрала чинності</w:t>
            </w:r>
          </w:p>
        </w:tc>
        <w:tc>
          <w:tcPr>
            <w:tcW w:w="5206" w:type="dxa"/>
            <w:tcBorders>
              <w:top w:val="outset" w:sz="6" w:space="0" w:color="auto"/>
              <w:left w:val="outset" w:sz="6" w:space="0" w:color="auto"/>
              <w:bottom w:val="outset" w:sz="6" w:space="0" w:color="auto"/>
              <w:right w:val="outset" w:sz="6" w:space="0" w:color="auto"/>
            </w:tcBorders>
            <w:hideMark/>
          </w:tcPr>
          <w:p w14:paraId="0BD84B7F" w14:textId="77777777" w:rsidR="00000000" w:rsidRDefault="00000000">
            <w:pPr>
              <w:pStyle w:val="anchor"/>
            </w:pPr>
            <w:r>
              <w:rPr>
                <w:b/>
                <w:bCs/>
              </w:rPr>
              <w:t>Товари українського виробництва матимуть маркування «Зроблено в Україні»</w:t>
            </w:r>
          </w:p>
          <w:p w14:paraId="03D4F359" w14:textId="77777777" w:rsidR="00000000" w:rsidRDefault="00000000">
            <w:pPr>
              <w:pStyle w:val="anchor"/>
            </w:pPr>
            <w:r>
              <w:t>КМУ затвердив зображення торговельної марки «Зроблено в Україні».</w:t>
            </w:r>
          </w:p>
          <w:p w14:paraId="1B885741" w14:textId="77777777" w:rsidR="00000000" w:rsidRDefault="00000000">
            <w:pPr>
              <w:pStyle w:val="anchor"/>
            </w:pPr>
            <w:r>
              <w:t>Торговельна марка сприятиме популяризації товарів українського виробництва та внутрішньому попиту на українські товари.</w:t>
            </w:r>
          </w:p>
          <w:p w14:paraId="58881BBF" w14:textId="77777777" w:rsidR="00000000" w:rsidRDefault="00000000">
            <w:pPr>
              <w:pStyle w:val="anchor"/>
            </w:pPr>
            <w:r>
              <w:t>За рішенням КМУ Мінекономіки:</w:t>
            </w:r>
          </w:p>
          <w:p w14:paraId="789D64FF" w14:textId="77777777" w:rsidR="00000000" w:rsidRDefault="00000000">
            <w:pPr>
              <w:pStyle w:val="listitem"/>
              <w:numPr>
                <w:ilvl w:val="0"/>
                <w:numId w:val="2"/>
              </w:numPr>
              <w:rPr>
                <w:rFonts w:eastAsia="Times New Roman"/>
              </w:rPr>
            </w:pPr>
            <w:r>
              <w:rPr>
                <w:rFonts w:eastAsia="Times New Roman"/>
              </w:rPr>
              <w:t>забезпечить подання заявки на державну реєстрацію торговельної марки;</w:t>
            </w:r>
          </w:p>
          <w:p w14:paraId="49387915" w14:textId="77777777" w:rsidR="00000000" w:rsidRDefault="00000000">
            <w:pPr>
              <w:pStyle w:val="listitem"/>
              <w:numPr>
                <w:ilvl w:val="0"/>
                <w:numId w:val="2"/>
              </w:numPr>
              <w:rPr>
                <w:rFonts w:eastAsia="Times New Roman"/>
              </w:rPr>
            </w:pPr>
            <w:r>
              <w:rPr>
                <w:rFonts w:eastAsia="Times New Roman"/>
              </w:rPr>
              <w:t>розробить та затвердить технічний стандарт (брендбук) на основі зазначеного зображення торговельної марки.</w:t>
            </w:r>
          </w:p>
          <w:p w14:paraId="1689EA95" w14:textId="77777777" w:rsidR="00000000" w:rsidRDefault="00000000">
            <w:pPr>
              <w:pStyle w:val="anchor"/>
            </w:pPr>
            <w:r>
              <w:t>КМУ рекомендує використовувати затверджене зображення торговельної марки відповідно до технічного стандарту (брендбуку):</w:t>
            </w:r>
          </w:p>
          <w:p w14:paraId="43F90256" w14:textId="77777777" w:rsidR="00000000" w:rsidRDefault="00000000">
            <w:pPr>
              <w:pStyle w:val="listitem"/>
              <w:numPr>
                <w:ilvl w:val="0"/>
                <w:numId w:val="4"/>
              </w:numPr>
              <w:rPr>
                <w:rFonts w:eastAsia="Times New Roman"/>
              </w:rPr>
            </w:pPr>
            <w:r>
              <w:rPr>
                <w:rFonts w:eastAsia="Times New Roman"/>
              </w:rPr>
              <w:t>державним органам;</w:t>
            </w:r>
          </w:p>
          <w:p w14:paraId="42DB7D86" w14:textId="77777777" w:rsidR="00000000" w:rsidRDefault="00000000">
            <w:pPr>
              <w:pStyle w:val="listitem"/>
              <w:numPr>
                <w:ilvl w:val="0"/>
                <w:numId w:val="4"/>
              </w:numPr>
              <w:rPr>
                <w:rFonts w:eastAsia="Times New Roman"/>
              </w:rPr>
            </w:pPr>
            <w:r>
              <w:rPr>
                <w:rFonts w:eastAsia="Times New Roman"/>
              </w:rPr>
              <w:t>органам місцевого самоврядування;</w:t>
            </w:r>
          </w:p>
          <w:p w14:paraId="796B672D" w14:textId="77777777" w:rsidR="00000000" w:rsidRDefault="00000000">
            <w:pPr>
              <w:pStyle w:val="listitem"/>
              <w:numPr>
                <w:ilvl w:val="0"/>
                <w:numId w:val="4"/>
              </w:numPr>
              <w:rPr>
                <w:rFonts w:eastAsia="Times New Roman"/>
              </w:rPr>
            </w:pPr>
            <w:r>
              <w:rPr>
                <w:rFonts w:eastAsia="Times New Roman"/>
              </w:rPr>
              <w:t>підприємствам, установам та організаціям незалежно від форми власності.</w:t>
            </w:r>
          </w:p>
          <w:p w14:paraId="28621FF6" w14:textId="77777777" w:rsidR="00000000" w:rsidRDefault="00000000">
            <w:pPr>
              <w:pStyle w:val="anchor"/>
            </w:pPr>
            <w:r>
              <w:t>Використовувати зображення торговельної марки можна буде на безоплатній основі</w:t>
            </w:r>
          </w:p>
        </w:tc>
        <w:tc>
          <w:tcPr>
            <w:tcW w:w="1818" w:type="dxa"/>
            <w:tcBorders>
              <w:top w:val="outset" w:sz="6" w:space="0" w:color="auto"/>
              <w:left w:val="outset" w:sz="6" w:space="0" w:color="auto"/>
              <w:bottom w:val="outset" w:sz="6" w:space="0" w:color="auto"/>
              <w:right w:val="outset" w:sz="6" w:space="0" w:color="auto"/>
            </w:tcBorders>
            <w:hideMark/>
          </w:tcPr>
          <w:p w14:paraId="5770E886" w14:textId="77777777" w:rsidR="00000000" w:rsidRDefault="00000000">
            <w:pPr>
              <w:pStyle w:val="anchor"/>
            </w:pPr>
            <w:r>
              <w:t>Постанова КМУ «Питання популяризації товарів українського виробництва» від 23.02.2024 № 197</w:t>
            </w:r>
          </w:p>
        </w:tc>
      </w:tr>
      <w:tr w:rsidR="00000000" w14:paraId="0F026F09" w14:textId="77777777">
        <w:trPr>
          <w:divId w:val="1414009360"/>
          <w:trHeight w:val="152"/>
          <w:tblCellSpacing w:w="0" w:type="dxa"/>
        </w:trPr>
        <w:tc>
          <w:tcPr>
            <w:tcW w:w="1592" w:type="dxa"/>
            <w:tcBorders>
              <w:top w:val="outset" w:sz="6" w:space="0" w:color="auto"/>
              <w:left w:val="outset" w:sz="6" w:space="0" w:color="auto"/>
              <w:bottom w:val="outset" w:sz="6" w:space="0" w:color="auto"/>
              <w:right w:val="outset" w:sz="6" w:space="0" w:color="auto"/>
            </w:tcBorders>
            <w:hideMark/>
          </w:tcPr>
          <w:p w14:paraId="73E3834A" w14:textId="77777777" w:rsidR="00000000" w:rsidRDefault="00000000">
            <w:pPr>
              <w:pStyle w:val="anchor"/>
            </w:pPr>
            <w:r>
              <w:t>Не набрала чинності</w:t>
            </w:r>
          </w:p>
        </w:tc>
        <w:tc>
          <w:tcPr>
            <w:tcW w:w="5206" w:type="dxa"/>
            <w:tcBorders>
              <w:top w:val="outset" w:sz="6" w:space="0" w:color="auto"/>
              <w:left w:val="outset" w:sz="6" w:space="0" w:color="auto"/>
              <w:bottom w:val="outset" w:sz="6" w:space="0" w:color="auto"/>
              <w:right w:val="outset" w:sz="6" w:space="0" w:color="auto"/>
            </w:tcBorders>
            <w:hideMark/>
          </w:tcPr>
          <w:p w14:paraId="7A3096C7" w14:textId="77777777" w:rsidR="00000000" w:rsidRDefault="00000000">
            <w:pPr>
              <w:pStyle w:val="anchor"/>
            </w:pPr>
            <w:r>
              <w:rPr>
                <w:b/>
                <w:bCs/>
              </w:rPr>
              <w:t>Зміни до норм харчування військовослужбовців служб цивільного захисту</w:t>
            </w:r>
          </w:p>
          <w:p w14:paraId="35155BE3" w14:textId="77777777" w:rsidR="00000000" w:rsidRDefault="00000000">
            <w:pPr>
              <w:pStyle w:val="anchor"/>
            </w:pPr>
            <w:r>
              <w:t>КМУ вніс зміни до норм харчування військовослужбовців Збройних Сил та інших військових формувань, затверджених постановою КМУ від 29.03.2002 № 426.</w:t>
            </w:r>
          </w:p>
          <w:p w14:paraId="0F72D63B" w14:textId="77777777" w:rsidR="00000000" w:rsidRDefault="00000000">
            <w:pPr>
              <w:pStyle w:val="anchor"/>
            </w:pPr>
            <w:r>
              <w:lastRenderedPageBreak/>
              <w:t xml:space="preserve">Зміни стосуються забезпечення заходів у </w:t>
            </w:r>
            <w:r>
              <w:rPr>
                <w:b/>
                <w:bCs/>
              </w:rPr>
              <w:t>сфері цивільного захисту</w:t>
            </w:r>
            <w:r>
              <w:t>.</w:t>
            </w:r>
          </w:p>
          <w:p w14:paraId="439142D7" w14:textId="77777777" w:rsidR="00000000" w:rsidRDefault="00000000">
            <w:pPr>
              <w:pStyle w:val="anchor"/>
            </w:pPr>
            <w:r>
              <w:t>За Нормою № 1 «Загальновійськовою» за рахунок держави харчуванням забезпечуються, зокрема, особи рядового і начальницького складу служби цивільного захисту, працівники органів та підрозділів цивільного захисту в разі відрядження за межі гарнізону для ліквідації наслідків надзвичайних ситуацій або під час ліквідації наслідків надзвичайних ситуацій регіонального та державного рівня.</w:t>
            </w:r>
          </w:p>
          <w:p w14:paraId="36BE0ECB" w14:textId="77777777" w:rsidR="00000000" w:rsidRDefault="00000000">
            <w:pPr>
              <w:pStyle w:val="anchor"/>
            </w:pPr>
            <w:r>
              <w:t>Підставою для зарахування на забезпечення харчуванням у такому разі є наказ начальника гарнізону, на території якого виникла надзвичайна ситуація.</w:t>
            </w:r>
          </w:p>
          <w:p w14:paraId="344A4FAC" w14:textId="77777777" w:rsidR="00000000" w:rsidRDefault="00000000">
            <w:pPr>
              <w:pStyle w:val="anchor"/>
            </w:pPr>
            <w:hyperlink r:id="rId9" w:tgtFrame="_blank" w:history="1">
              <w:r>
                <w:rPr>
                  <w:rStyle w:val="a3"/>
                  <w:b/>
                  <w:bCs/>
                </w:rPr>
                <w:t>&gt;&gt; Детальніше про зміни</w:t>
              </w:r>
            </w:hyperlink>
          </w:p>
        </w:tc>
        <w:tc>
          <w:tcPr>
            <w:tcW w:w="1818" w:type="dxa"/>
            <w:tcBorders>
              <w:top w:val="outset" w:sz="6" w:space="0" w:color="auto"/>
              <w:left w:val="outset" w:sz="6" w:space="0" w:color="auto"/>
              <w:bottom w:val="outset" w:sz="6" w:space="0" w:color="auto"/>
              <w:right w:val="outset" w:sz="6" w:space="0" w:color="auto"/>
            </w:tcBorders>
            <w:hideMark/>
          </w:tcPr>
          <w:p w14:paraId="21DF4FBB" w14:textId="77777777" w:rsidR="00000000" w:rsidRDefault="00000000">
            <w:pPr>
              <w:pStyle w:val="anchor"/>
            </w:pPr>
            <w:r>
              <w:lastRenderedPageBreak/>
              <w:t>Постанова КМУ «Про внесення змін до норм харчування військовослужбовців Збройних Сил та інших військових формувань» від 16.02.2024 № 172</w:t>
            </w:r>
          </w:p>
        </w:tc>
      </w:tr>
      <w:tr w:rsidR="00000000" w14:paraId="36B852C9" w14:textId="77777777">
        <w:trPr>
          <w:divId w:val="1414009360"/>
          <w:trHeight w:val="152"/>
          <w:tblCellSpacing w:w="0" w:type="dxa"/>
        </w:trPr>
        <w:tc>
          <w:tcPr>
            <w:tcW w:w="1592" w:type="dxa"/>
            <w:tcBorders>
              <w:top w:val="outset" w:sz="6" w:space="0" w:color="auto"/>
              <w:left w:val="outset" w:sz="6" w:space="0" w:color="auto"/>
              <w:bottom w:val="outset" w:sz="6" w:space="0" w:color="auto"/>
              <w:right w:val="outset" w:sz="6" w:space="0" w:color="auto"/>
            </w:tcBorders>
            <w:hideMark/>
          </w:tcPr>
          <w:p w14:paraId="6B6A654A" w14:textId="77777777" w:rsidR="00000000" w:rsidRDefault="00000000">
            <w:pPr>
              <w:pStyle w:val="anchor"/>
            </w:pPr>
            <w:r>
              <w:t>Не набрали чинності</w:t>
            </w:r>
          </w:p>
        </w:tc>
        <w:tc>
          <w:tcPr>
            <w:tcW w:w="5206" w:type="dxa"/>
            <w:tcBorders>
              <w:top w:val="outset" w:sz="6" w:space="0" w:color="auto"/>
              <w:left w:val="outset" w:sz="6" w:space="0" w:color="auto"/>
              <w:bottom w:val="outset" w:sz="6" w:space="0" w:color="auto"/>
              <w:right w:val="outset" w:sz="6" w:space="0" w:color="auto"/>
            </w:tcBorders>
            <w:hideMark/>
          </w:tcPr>
          <w:p w14:paraId="6BBCAA7C" w14:textId="77777777" w:rsidR="00000000" w:rsidRDefault="00000000">
            <w:pPr>
              <w:pStyle w:val="anchor"/>
            </w:pPr>
            <w:r>
              <w:rPr>
                <w:b/>
                <w:bCs/>
              </w:rPr>
              <w:t>НАЗК затвердило типову антикорупційну програму юридичної особи в новій редакції</w:t>
            </w:r>
          </w:p>
          <w:p w14:paraId="3FE558C0" w14:textId="77777777" w:rsidR="00000000" w:rsidRDefault="00000000">
            <w:pPr>
              <w:pStyle w:val="anchor"/>
            </w:pPr>
            <w:r>
              <w:t>21.02.2024 офіційно опублікували накази НАЗК, якими затверджено Типову антикорупційну програму (програму доброчесності) юридичної особи. Зміни набирають чинності через шість місяців з дня офіційного опублікування.</w:t>
            </w:r>
          </w:p>
          <w:p w14:paraId="5C8A8169" w14:textId="77777777" w:rsidR="00000000" w:rsidRDefault="00000000">
            <w:pPr>
              <w:pStyle w:val="anchor"/>
            </w:pPr>
            <w:r>
              <w:t>Антикорупційна програма організації повинна передбачати:</w:t>
            </w:r>
          </w:p>
          <w:p w14:paraId="489373CF" w14:textId="77777777" w:rsidR="00000000" w:rsidRDefault="00000000">
            <w:pPr>
              <w:pStyle w:val="listitem"/>
              <w:numPr>
                <w:ilvl w:val="0"/>
                <w:numId w:val="6"/>
              </w:numPr>
              <w:rPr>
                <w:rFonts w:eastAsia="Times New Roman"/>
              </w:rPr>
            </w:pPr>
            <w:r>
              <w:rPr>
                <w:rFonts w:eastAsia="Times New Roman"/>
              </w:rPr>
              <w:t>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w:t>
            </w:r>
          </w:p>
          <w:p w14:paraId="5BCE9DCB" w14:textId="77777777" w:rsidR="00000000" w:rsidRDefault="00000000">
            <w:pPr>
              <w:pStyle w:val="listitem"/>
              <w:numPr>
                <w:ilvl w:val="0"/>
                <w:numId w:val="6"/>
              </w:numPr>
              <w:rPr>
                <w:rFonts w:eastAsia="Times New Roman"/>
              </w:rPr>
            </w:pPr>
            <w:r>
              <w:rPr>
                <w:rFonts w:eastAsia="Times New Roman"/>
              </w:rPr>
              <w:t>оцінку корупційних ризиків у діяльності організації та інших юридичних осіб, причини, що їх породжують та умови, що їм сприяють;</w:t>
            </w:r>
          </w:p>
          <w:p w14:paraId="20886D88" w14:textId="77777777" w:rsidR="00000000" w:rsidRDefault="00000000">
            <w:pPr>
              <w:pStyle w:val="listitem"/>
              <w:numPr>
                <w:ilvl w:val="0"/>
                <w:numId w:val="6"/>
              </w:numPr>
              <w:rPr>
                <w:rFonts w:eastAsia="Times New Roman"/>
              </w:rPr>
            </w:pPr>
            <w:r>
              <w:rPr>
                <w:rFonts w:eastAsia="Times New Roman"/>
              </w:rPr>
              <w:t>заходи щодо усунення виявлених корупційних ризиків, осіб, відповідальних за їх виконання, строки та необхідні ресурси;</w:t>
            </w:r>
          </w:p>
          <w:p w14:paraId="2CDECCC1" w14:textId="77777777" w:rsidR="00000000" w:rsidRDefault="00000000">
            <w:pPr>
              <w:pStyle w:val="listitem"/>
              <w:numPr>
                <w:ilvl w:val="0"/>
                <w:numId w:val="6"/>
              </w:numPr>
              <w:rPr>
                <w:rFonts w:eastAsia="Times New Roman"/>
              </w:rPr>
            </w:pPr>
            <w:r>
              <w:rPr>
                <w:rFonts w:eastAsia="Times New Roman"/>
              </w:rPr>
              <w:t>навчання та заходи з поширення інформації щодо програм антикорупційного спрямування;</w:t>
            </w:r>
          </w:p>
          <w:p w14:paraId="7A61D37D" w14:textId="77777777" w:rsidR="00000000" w:rsidRDefault="00000000">
            <w:pPr>
              <w:pStyle w:val="listitem"/>
              <w:numPr>
                <w:ilvl w:val="0"/>
                <w:numId w:val="6"/>
              </w:numPr>
              <w:rPr>
                <w:rFonts w:eastAsia="Times New Roman"/>
              </w:rPr>
            </w:pPr>
            <w:r>
              <w:rPr>
                <w:rFonts w:eastAsia="Times New Roman"/>
              </w:rPr>
              <w:t>процедури щодо моніторингу, оцінки виконання та періодичного перегляду антикорупційної програми;</w:t>
            </w:r>
          </w:p>
          <w:p w14:paraId="15FB5846" w14:textId="77777777" w:rsidR="00000000" w:rsidRDefault="00000000">
            <w:pPr>
              <w:pStyle w:val="listitem"/>
              <w:numPr>
                <w:ilvl w:val="0"/>
                <w:numId w:val="6"/>
              </w:numPr>
              <w:rPr>
                <w:rFonts w:eastAsia="Times New Roman"/>
              </w:rPr>
            </w:pPr>
            <w:r>
              <w:rPr>
                <w:rFonts w:eastAsia="Times New Roman"/>
              </w:rPr>
              <w:lastRenderedPageBreak/>
              <w:t>інші спрямовані на запобігання корупційним та пов’язаним з корупцією правопорушенням заходи.</w:t>
            </w:r>
          </w:p>
          <w:p w14:paraId="667644A0" w14:textId="77777777" w:rsidR="00000000" w:rsidRDefault="00000000">
            <w:pPr>
              <w:pStyle w:val="anchor"/>
            </w:pPr>
            <w:r>
              <w:t>Реєстр ризиків включається до антикорупційної програми як додаток до неї.</w:t>
            </w:r>
          </w:p>
          <w:p w14:paraId="6233AE1A" w14:textId="77777777" w:rsidR="00000000" w:rsidRDefault="00000000">
            <w:pPr>
              <w:pStyle w:val="anchor"/>
            </w:pPr>
            <w:r>
              <w:t>Прийняття антикорупційної програми організацією здійснюється на основі Типової антикорупційної програми (програми доброчесності) юридичної особи, розробленої НАЗК.</w:t>
            </w:r>
          </w:p>
          <w:p w14:paraId="73AAFE93" w14:textId="77777777" w:rsidR="00000000" w:rsidRDefault="00000000">
            <w:pPr>
              <w:pStyle w:val="anchor"/>
            </w:pPr>
            <w:hyperlink r:id="rId10" w:tgtFrame="_blank" w:history="1">
              <w:r>
                <w:rPr>
                  <w:rStyle w:val="a6"/>
                  <w:color w:val="0000FF"/>
                  <w:u w:val="single"/>
                </w:rPr>
                <w:t>&gt;&gt; Детальніше про зміни</w:t>
              </w:r>
            </w:hyperlink>
          </w:p>
        </w:tc>
        <w:tc>
          <w:tcPr>
            <w:tcW w:w="1818" w:type="dxa"/>
            <w:tcBorders>
              <w:top w:val="outset" w:sz="6" w:space="0" w:color="auto"/>
              <w:left w:val="outset" w:sz="6" w:space="0" w:color="auto"/>
              <w:bottom w:val="outset" w:sz="6" w:space="0" w:color="auto"/>
              <w:right w:val="outset" w:sz="6" w:space="0" w:color="auto"/>
            </w:tcBorders>
            <w:hideMark/>
          </w:tcPr>
          <w:p w14:paraId="01F53329" w14:textId="77777777" w:rsidR="00000000" w:rsidRDefault="00000000">
            <w:pPr>
              <w:pStyle w:val="anchor"/>
            </w:pPr>
            <w:r>
              <w:lastRenderedPageBreak/>
              <w:t>Накази НАЗК «Про внесення змін до наказу Національного агентства з питань запобігання корупції від 28 грудня 2021 року № 830/21» від 15.01.2024 № 22/24, «Про врахування висловлених органом державної реєстрації зауважень до наказу Національного агентства з питань запобігання корупції від 15 січня 2024 року № 22/24» від 22.01.2024 № 32/24</w:t>
            </w:r>
          </w:p>
        </w:tc>
      </w:tr>
      <w:tr w:rsidR="00000000" w14:paraId="6F126F62" w14:textId="77777777">
        <w:trPr>
          <w:divId w:val="1414009360"/>
          <w:trHeight w:val="152"/>
          <w:tblCellSpacing w:w="0" w:type="dxa"/>
        </w:trPr>
        <w:tc>
          <w:tcPr>
            <w:tcW w:w="1592" w:type="dxa"/>
            <w:tcBorders>
              <w:top w:val="outset" w:sz="6" w:space="0" w:color="auto"/>
              <w:left w:val="outset" w:sz="6" w:space="0" w:color="auto"/>
              <w:bottom w:val="outset" w:sz="6" w:space="0" w:color="auto"/>
              <w:right w:val="outset" w:sz="6" w:space="0" w:color="auto"/>
            </w:tcBorders>
            <w:hideMark/>
          </w:tcPr>
          <w:p w14:paraId="584CA6E9" w14:textId="77777777" w:rsidR="00000000" w:rsidRDefault="00000000">
            <w:pPr>
              <w:pStyle w:val="anchor"/>
            </w:pPr>
            <w:r>
              <w:t>29.02.2024</w:t>
            </w:r>
          </w:p>
        </w:tc>
        <w:tc>
          <w:tcPr>
            <w:tcW w:w="5206" w:type="dxa"/>
            <w:tcBorders>
              <w:top w:val="outset" w:sz="6" w:space="0" w:color="auto"/>
              <w:left w:val="outset" w:sz="6" w:space="0" w:color="auto"/>
              <w:bottom w:val="outset" w:sz="6" w:space="0" w:color="auto"/>
              <w:right w:val="outset" w:sz="6" w:space="0" w:color="auto"/>
            </w:tcBorders>
            <w:hideMark/>
          </w:tcPr>
          <w:p w14:paraId="0FAC2AD7" w14:textId="77777777" w:rsidR="00000000" w:rsidRDefault="00000000">
            <w:pPr>
              <w:pStyle w:val="anchor"/>
            </w:pPr>
            <w:r>
              <w:rPr>
                <w:b/>
                <w:bCs/>
              </w:rPr>
              <w:t>Зміни до Порядку № 590: актуалізовані переліки витрат і нові видатки</w:t>
            </w:r>
          </w:p>
          <w:p w14:paraId="5AF426B0" w14:textId="77777777" w:rsidR="00000000" w:rsidRDefault="00000000">
            <w:pPr>
              <w:pStyle w:val="anchor"/>
            </w:pPr>
            <w:r>
              <w:t>КМУ вніс зміни до Порядку виконання повноважень Державною казначейською службою в особливому режимі в умовах воєнного стану, затвердженого постановою КМУ від 09.06.2021 № 590 (далі — Порядок № 590).</w:t>
            </w:r>
          </w:p>
          <w:p w14:paraId="637D0AB2" w14:textId="77777777" w:rsidR="00000000" w:rsidRDefault="00000000">
            <w:pPr>
              <w:pStyle w:val="anchor"/>
            </w:pPr>
            <w:r>
              <w:t>Актуалізували:</w:t>
            </w:r>
          </w:p>
          <w:p w14:paraId="4F1049EC" w14:textId="77777777" w:rsidR="00000000" w:rsidRDefault="00000000">
            <w:pPr>
              <w:pStyle w:val="anchor"/>
            </w:pPr>
            <w:r>
              <w:t>• перелік витрат, за якими Казначейство здійснює відкриття асигнувань із державного бюджету;</w:t>
            </w:r>
          </w:p>
          <w:p w14:paraId="3EF0B4DB" w14:textId="77777777" w:rsidR="00000000" w:rsidRDefault="00000000">
            <w:pPr>
              <w:pStyle w:val="anchor"/>
            </w:pPr>
            <w:r>
              <w:t>• перелік витрат, за якими проводять платежі Казначейство та його органи в особливому режимі в умовах воєнного стану.</w:t>
            </w:r>
          </w:p>
          <w:p w14:paraId="33571265" w14:textId="77777777" w:rsidR="00000000" w:rsidRDefault="00000000">
            <w:pPr>
              <w:pStyle w:val="anchor"/>
            </w:pPr>
            <w:r>
              <w:t>Також Порядок № 590 доповнили видатками, зокрема, на:</w:t>
            </w:r>
          </w:p>
          <w:p w14:paraId="2E69888E" w14:textId="77777777" w:rsidR="00000000" w:rsidRDefault="00000000">
            <w:pPr>
              <w:pStyle w:val="anchor"/>
            </w:pPr>
            <w:r>
              <w:t>• придбання безпілотних систем та засобів радіоелектронної боротьби, комплектувальних частин і деталей для їх виготовлення;</w:t>
            </w:r>
          </w:p>
          <w:p w14:paraId="21A87D97" w14:textId="77777777" w:rsidR="00000000" w:rsidRDefault="00000000">
            <w:pPr>
              <w:pStyle w:val="anchor"/>
            </w:pPr>
            <w:r>
              <w:t>• виконання ремонтно-будівельних робіт з реконструкції та капітального ремонту приміщень медичних закладів для лікування військовослужбовців;</w:t>
            </w:r>
          </w:p>
          <w:p w14:paraId="57E6C0B4" w14:textId="77777777" w:rsidR="00000000" w:rsidRDefault="00000000">
            <w:pPr>
              <w:pStyle w:val="anchor"/>
            </w:pPr>
            <w:r>
              <w:t>• будівництво/придбання житла для учасників бойових дій, які захищали, продовжують захищати незалежність, суверенітет та територіальну цілісність України, та членів їх сімей.</w:t>
            </w:r>
          </w:p>
          <w:p w14:paraId="4A7B91BB" w14:textId="77777777" w:rsidR="00000000" w:rsidRDefault="00000000">
            <w:pPr>
              <w:pStyle w:val="anchor"/>
            </w:pPr>
            <w:r>
              <w:rPr>
                <w:b/>
                <w:bCs/>
              </w:rPr>
              <w:t>Скористайтеся довідником:</w:t>
            </w:r>
            <w:r>
              <w:t xml:space="preserve"> </w:t>
            </w:r>
            <w:hyperlink r:id="rId11" w:tgtFrame="_blank" w:history="1">
              <w:r>
                <w:rPr>
                  <w:rStyle w:val="a3"/>
                </w:rPr>
                <w:t>Перелік витрат за пунктом 19 Порядку № 590</w:t>
              </w:r>
            </w:hyperlink>
          </w:p>
        </w:tc>
        <w:tc>
          <w:tcPr>
            <w:tcW w:w="1818" w:type="dxa"/>
            <w:tcBorders>
              <w:top w:val="outset" w:sz="6" w:space="0" w:color="auto"/>
              <w:left w:val="outset" w:sz="6" w:space="0" w:color="auto"/>
              <w:bottom w:val="outset" w:sz="6" w:space="0" w:color="auto"/>
              <w:right w:val="outset" w:sz="6" w:space="0" w:color="auto"/>
            </w:tcBorders>
            <w:hideMark/>
          </w:tcPr>
          <w:p w14:paraId="019292B2" w14:textId="77777777" w:rsidR="00000000" w:rsidRDefault="00000000">
            <w:pPr>
              <w:pStyle w:val="anchor"/>
            </w:pPr>
            <w:r>
              <w:t>Постанова КМУ «Про внесення змін до Порядку виконання повноважень Державною казначейською службою в особливому режимі в умовах воєнного стану» від 27.02.2024 № 211</w:t>
            </w:r>
          </w:p>
        </w:tc>
      </w:tr>
      <w:tr w:rsidR="00000000" w14:paraId="03D92F02" w14:textId="77777777">
        <w:trPr>
          <w:divId w:val="1414009360"/>
          <w:trHeight w:val="152"/>
          <w:tblCellSpacing w:w="0" w:type="dxa"/>
        </w:trPr>
        <w:tc>
          <w:tcPr>
            <w:tcW w:w="1592" w:type="dxa"/>
            <w:tcBorders>
              <w:top w:val="outset" w:sz="6" w:space="0" w:color="auto"/>
              <w:left w:val="outset" w:sz="6" w:space="0" w:color="auto"/>
              <w:bottom w:val="outset" w:sz="6" w:space="0" w:color="auto"/>
              <w:right w:val="outset" w:sz="6" w:space="0" w:color="auto"/>
            </w:tcBorders>
            <w:hideMark/>
          </w:tcPr>
          <w:p w14:paraId="3147EFB3" w14:textId="77777777" w:rsidR="00000000" w:rsidRDefault="00000000">
            <w:pPr>
              <w:pStyle w:val="anchor"/>
            </w:pPr>
            <w:r>
              <w:lastRenderedPageBreak/>
              <w:t>27.02.2024</w:t>
            </w:r>
          </w:p>
        </w:tc>
        <w:tc>
          <w:tcPr>
            <w:tcW w:w="5206" w:type="dxa"/>
            <w:tcBorders>
              <w:top w:val="outset" w:sz="6" w:space="0" w:color="auto"/>
              <w:left w:val="outset" w:sz="6" w:space="0" w:color="auto"/>
              <w:bottom w:val="outset" w:sz="6" w:space="0" w:color="auto"/>
              <w:right w:val="outset" w:sz="6" w:space="0" w:color="auto"/>
            </w:tcBorders>
            <w:hideMark/>
          </w:tcPr>
          <w:p w14:paraId="2FC37707" w14:textId="77777777" w:rsidR="00000000" w:rsidRDefault="00000000">
            <w:pPr>
              <w:pStyle w:val="anchor"/>
            </w:pPr>
            <w:r>
              <w:rPr>
                <w:b/>
                <w:bCs/>
              </w:rPr>
              <w:t>Залишки коштів з держбюджету-2024 спрямують на утримання автодоріг</w:t>
            </w:r>
          </w:p>
          <w:p w14:paraId="78BA0894" w14:textId="77777777" w:rsidR="00000000" w:rsidRDefault="00000000">
            <w:pPr>
              <w:pStyle w:val="anchor"/>
            </w:pPr>
            <w:r>
              <w:t>КМУ затвердив Порядок використання коштів державного бюджету, передбачених для розвитку мережі та утримання автомобільних доріг загального користування державного значення у 2024 році (далі — Порядок).</w:t>
            </w:r>
          </w:p>
          <w:p w14:paraId="13E80915" w14:textId="77777777" w:rsidR="00000000" w:rsidRDefault="00000000">
            <w:pPr>
              <w:pStyle w:val="anchor"/>
            </w:pPr>
            <w:r>
              <w:t>Відтак Державному агентству відновлення та розвитку інфраструктури спрямують залишок коштів спеціального фонду державного бюджету на нову бюджетну програму «Розвиток мережі та утримання автомобільних доріг загального користування державного значення» для здійснення видатків у 2024 році на фінансове забезпечення заходів, визначених пунктом 1 частини 4 статті 3 Закону України «Про джерела фінансування дорожнього господарства України» від 18.09.1991 № 1562-XII (далі — Програма).</w:t>
            </w:r>
          </w:p>
          <w:p w14:paraId="47B13316" w14:textId="77777777" w:rsidR="00000000" w:rsidRDefault="00000000">
            <w:pPr>
              <w:pStyle w:val="anchor"/>
            </w:pPr>
            <w:r>
              <w:t>Порядок визначає механізм використання залишку коштів, джерелом формування яких були доходи державного бюджету, що надійшли у попередні роки та не використані у 2023 році, за Програмою.</w:t>
            </w:r>
          </w:p>
          <w:p w14:paraId="74019F44" w14:textId="77777777" w:rsidR="00000000" w:rsidRDefault="00000000">
            <w:pPr>
              <w:pStyle w:val="anchor"/>
            </w:pPr>
            <w:r>
              <w:t>Головним розпорядником бюджетних коштів та відповідальним виконавцем бюджетної програми є Агентство відновлення.</w:t>
            </w:r>
          </w:p>
          <w:p w14:paraId="7D47F075" w14:textId="77777777" w:rsidR="00000000" w:rsidRDefault="00000000">
            <w:pPr>
              <w:pStyle w:val="anchor"/>
            </w:pPr>
            <w:hyperlink r:id="rId12" w:tgtFrame="_blank" w:history="1">
              <w:r>
                <w:rPr>
                  <w:rStyle w:val="a6"/>
                  <w:color w:val="0000FF"/>
                  <w:u w:val="single"/>
                </w:rPr>
                <w:t>&gt;&gt; Детальніше про зміни</w:t>
              </w:r>
            </w:hyperlink>
          </w:p>
        </w:tc>
        <w:tc>
          <w:tcPr>
            <w:tcW w:w="1818" w:type="dxa"/>
            <w:tcBorders>
              <w:top w:val="outset" w:sz="6" w:space="0" w:color="auto"/>
              <w:left w:val="outset" w:sz="6" w:space="0" w:color="auto"/>
              <w:bottom w:val="outset" w:sz="6" w:space="0" w:color="auto"/>
              <w:right w:val="outset" w:sz="6" w:space="0" w:color="auto"/>
            </w:tcBorders>
            <w:hideMark/>
          </w:tcPr>
          <w:p w14:paraId="4BE0A2FA" w14:textId="77777777" w:rsidR="00000000" w:rsidRDefault="00000000">
            <w:pPr>
              <w:pStyle w:val="anchor"/>
            </w:pPr>
            <w:r>
              <w:t>Постанова КМУ «Деякі питання використання залишку коштів, визначеного пунктом 2 статті 36 Закону України «Про Державний бюджет України на 2024 рік» від 23.02.2024 № 199</w:t>
            </w:r>
          </w:p>
        </w:tc>
      </w:tr>
      <w:tr w:rsidR="00000000" w14:paraId="154BD4C6" w14:textId="77777777">
        <w:trPr>
          <w:divId w:val="1414009360"/>
          <w:trHeight w:val="152"/>
          <w:tblCellSpacing w:w="0" w:type="dxa"/>
        </w:trPr>
        <w:tc>
          <w:tcPr>
            <w:tcW w:w="1592" w:type="dxa"/>
            <w:tcBorders>
              <w:top w:val="outset" w:sz="6" w:space="0" w:color="auto"/>
              <w:left w:val="outset" w:sz="6" w:space="0" w:color="auto"/>
              <w:bottom w:val="outset" w:sz="6" w:space="0" w:color="auto"/>
              <w:right w:val="outset" w:sz="6" w:space="0" w:color="auto"/>
            </w:tcBorders>
            <w:hideMark/>
          </w:tcPr>
          <w:p w14:paraId="3DED1F91" w14:textId="77777777" w:rsidR="00000000" w:rsidRDefault="00000000">
            <w:pPr>
              <w:pStyle w:val="anchor"/>
            </w:pPr>
            <w:r>
              <w:t>27.02.2024</w:t>
            </w:r>
          </w:p>
        </w:tc>
        <w:tc>
          <w:tcPr>
            <w:tcW w:w="5206" w:type="dxa"/>
            <w:tcBorders>
              <w:top w:val="outset" w:sz="6" w:space="0" w:color="auto"/>
              <w:left w:val="outset" w:sz="6" w:space="0" w:color="auto"/>
              <w:bottom w:val="outset" w:sz="6" w:space="0" w:color="auto"/>
              <w:right w:val="outset" w:sz="6" w:space="0" w:color="auto"/>
            </w:tcBorders>
            <w:hideMark/>
          </w:tcPr>
          <w:p w14:paraId="4CE0CE39" w14:textId="77777777" w:rsidR="00000000" w:rsidRDefault="00000000">
            <w:pPr>
              <w:pStyle w:val="anchor"/>
            </w:pPr>
            <w:r>
              <w:rPr>
                <w:b/>
                <w:bCs/>
              </w:rPr>
              <w:t>КМУ вніс зміни до Порядку використання коштів фонду ліквідації наслідків збройної агресії</w:t>
            </w:r>
          </w:p>
          <w:p w14:paraId="675444A9" w14:textId="77777777" w:rsidR="00000000" w:rsidRDefault="00000000">
            <w:pPr>
              <w:pStyle w:val="anchor"/>
            </w:pPr>
            <w:r>
              <w:t>КМУ вніс зміни до Порядку використання коштів фонду ліквідації наслідків збройної агресії, затвердженого постановою КМУ від 10.02.2023 № 118 (</w:t>
            </w:r>
            <w:r>
              <w:rPr>
                <w:rStyle w:val="a7"/>
              </w:rPr>
              <w:t>далі</w:t>
            </w:r>
            <w:r>
              <w:t xml:space="preserve"> — Порядок № 118).</w:t>
            </w:r>
          </w:p>
          <w:p w14:paraId="26DAED13" w14:textId="77777777" w:rsidR="00000000" w:rsidRDefault="00000000">
            <w:pPr>
              <w:pStyle w:val="anchor"/>
            </w:pPr>
            <w:r>
              <w:t>Відтак кошти фонду за напрямами, передбаченими Порядком № 118, не виділятимуть на проєкти, об’єкти і заходи, які розташовані на:</w:t>
            </w:r>
          </w:p>
          <w:p w14:paraId="37C5B809" w14:textId="77777777" w:rsidR="00000000" w:rsidRDefault="00000000">
            <w:pPr>
              <w:pStyle w:val="anchor"/>
            </w:pPr>
            <w:r>
              <w:t>• територіях активних бойових дій;</w:t>
            </w:r>
          </w:p>
          <w:p w14:paraId="37320BB5" w14:textId="77777777" w:rsidR="00000000" w:rsidRDefault="00000000">
            <w:pPr>
              <w:pStyle w:val="anchor"/>
            </w:pPr>
            <w:r>
              <w:t>• територіях активних бойових дій, на яких функціонують державні електронні інформаційні ресурси;</w:t>
            </w:r>
          </w:p>
          <w:p w14:paraId="15F801D0" w14:textId="77777777" w:rsidR="00000000" w:rsidRDefault="00000000">
            <w:pPr>
              <w:pStyle w:val="anchor"/>
            </w:pPr>
            <w:r>
              <w:t xml:space="preserve">• тимчасово окупованих територіях України, включених до переліку територій, на яких ведуться </w:t>
            </w:r>
            <w:r>
              <w:lastRenderedPageBreak/>
              <w:t>(велися) бойові дії або тимчасово окупованих російською федерацією, затвердженого Мінреінтеграції, для яких не визначена дата завершення бойових дій або тимчасової окупації</w:t>
            </w:r>
          </w:p>
        </w:tc>
        <w:tc>
          <w:tcPr>
            <w:tcW w:w="1818" w:type="dxa"/>
            <w:tcBorders>
              <w:top w:val="outset" w:sz="6" w:space="0" w:color="auto"/>
              <w:left w:val="outset" w:sz="6" w:space="0" w:color="auto"/>
              <w:bottom w:val="outset" w:sz="6" w:space="0" w:color="auto"/>
              <w:right w:val="outset" w:sz="6" w:space="0" w:color="auto"/>
            </w:tcBorders>
            <w:hideMark/>
          </w:tcPr>
          <w:p w14:paraId="666A40FB" w14:textId="77777777" w:rsidR="00000000" w:rsidRDefault="00000000">
            <w:pPr>
              <w:pStyle w:val="anchor"/>
            </w:pPr>
            <w:r>
              <w:lastRenderedPageBreak/>
              <w:t>Постанова КМУ «Про внесення змін до деяких постанов Кабінету Міністрів України щодо регулювання відносин на територіях активних бойових дій, на яких функціонують державні електронні інформаційні ресурси» від 23.02.2024 № 188</w:t>
            </w:r>
          </w:p>
        </w:tc>
      </w:tr>
      <w:tr w:rsidR="00000000" w14:paraId="0238C528" w14:textId="77777777">
        <w:trPr>
          <w:divId w:val="1414009360"/>
          <w:trHeight w:val="152"/>
          <w:tblCellSpacing w:w="0" w:type="dxa"/>
        </w:trPr>
        <w:tc>
          <w:tcPr>
            <w:tcW w:w="1592" w:type="dxa"/>
            <w:tcBorders>
              <w:top w:val="outset" w:sz="6" w:space="0" w:color="auto"/>
              <w:left w:val="outset" w:sz="6" w:space="0" w:color="auto"/>
              <w:bottom w:val="outset" w:sz="6" w:space="0" w:color="auto"/>
              <w:right w:val="outset" w:sz="6" w:space="0" w:color="auto"/>
            </w:tcBorders>
            <w:hideMark/>
          </w:tcPr>
          <w:p w14:paraId="192E5F83" w14:textId="77777777" w:rsidR="00000000" w:rsidRDefault="00000000">
            <w:pPr>
              <w:pStyle w:val="anchor"/>
            </w:pPr>
            <w:r>
              <w:t>27.02.2024 та 22.02.2024</w:t>
            </w:r>
          </w:p>
        </w:tc>
        <w:tc>
          <w:tcPr>
            <w:tcW w:w="5206" w:type="dxa"/>
            <w:tcBorders>
              <w:top w:val="outset" w:sz="6" w:space="0" w:color="auto"/>
              <w:left w:val="outset" w:sz="6" w:space="0" w:color="auto"/>
              <w:bottom w:val="outset" w:sz="6" w:space="0" w:color="auto"/>
              <w:right w:val="outset" w:sz="6" w:space="0" w:color="auto"/>
            </w:tcBorders>
            <w:hideMark/>
          </w:tcPr>
          <w:p w14:paraId="2312E52E" w14:textId="77777777" w:rsidR="00000000" w:rsidRDefault="00000000">
            <w:pPr>
              <w:pStyle w:val="anchor"/>
            </w:pPr>
            <w:r>
              <w:rPr>
                <w:b/>
                <w:bCs/>
              </w:rPr>
              <w:t>Оновили Перелік ТОТ та територій бойових дій</w:t>
            </w:r>
          </w:p>
          <w:p w14:paraId="26EEDF38" w14:textId="77777777" w:rsidR="00000000" w:rsidRDefault="00000000">
            <w:pPr>
              <w:pStyle w:val="anchor"/>
            </w:pPr>
            <w:r>
              <w:t>Мінреінтеграції внесло зміни до </w:t>
            </w:r>
            <w:hyperlink r:id="rId13" w:anchor="c48a122686" w:tgtFrame="_blank" w:history="1">
              <w:r>
                <w:rPr>
                  <w:rStyle w:val="a3"/>
                </w:rPr>
                <w:t>Переліку територій, на яких ведуть (велися) бойові дії або тимчасово окупованих російською федерацією, затверденого наказом від 22.12.2022 № 309</w:t>
              </w:r>
            </w:hyperlink>
            <w:r>
              <w:t> (</w:t>
            </w:r>
            <w:r>
              <w:rPr>
                <w:i/>
                <w:iCs/>
              </w:rPr>
              <w:t>далі</w:t>
            </w:r>
            <w:r>
              <w:t> — Перелік).</w:t>
            </w:r>
          </w:p>
          <w:p w14:paraId="34F62217" w14:textId="77777777" w:rsidR="00000000" w:rsidRDefault="00000000">
            <w:pPr>
              <w:pStyle w:val="anchor"/>
            </w:pPr>
            <w:r>
              <w:t>Зміни стосуються, зокрема, територіальних громад Сумської, Харківської, Донецької, Запорізької, Київської та Луганської областей</w:t>
            </w:r>
          </w:p>
        </w:tc>
        <w:tc>
          <w:tcPr>
            <w:tcW w:w="1818" w:type="dxa"/>
            <w:tcBorders>
              <w:top w:val="outset" w:sz="6" w:space="0" w:color="auto"/>
              <w:left w:val="outset" w:sz="6" w:space="0" w:color="auto"/>
              <w:bottom w:val="outset" w:sz="6" w:space="0" w:color="auto"/>
              <w:right w:val="outset" w:sz="6" w:space="0" w:color="auto"/>
            </w:tcBorders>
            <w:hideMark/>
          </w:tcPr>
          <w:p w14:paraId="61868F6A" w14:textId="77777777" w:rsidR="00000000" w:rsidRDefault="00000000">
            <w:pPr>
              <w:pStyle w:val="anchor"/>
            </w:pPr>
            <w:r>
              <w:t>Накази Мінреінтеграції «Про затвердження Змін до Переліку територій, на яких ведуться (велися) бойові дії або тимчасово окупованих Російською Федерацією» від 05.02.2024 № 30 та «Про затвердження Змін до Переліку територій, на яких ведуться (велися) бойові дії або тимчасово окупованих Російською Федерацією» від 25.01.2024 № 19</w:t>
            </w:r>
          </w:p>
        </w:tc>
      </w:tr>
      <w:tr w:rsidR="00000000" w14:paraId="63573D85" w14:textId="77777777">
        <w:trPr>
          <w:divId w:val="1414009360"/>
          <w:trHeight w:val="152"/>
          <w:tblCellSpacing w:w="0" w:type="dxa"/>
        </w:trPr>
        <w:tc>
          <w:tcPr>
            <w:tcW w:w="1592" w:type="dxa"/>
            <w:tcBorders>
              <w:top w:val="outset" w:sz="6" w:space="0" w:color="auto"/>
              <w:left w:val="outset" w:sz="6" w:space="0" w:color="auto"/>
              <w:bottom w:val="outset" w:sz="6" w:space="0" w:color="auto"/>
              <w:right w:val="outset" w:sz="6" w:space="0" w:color="auto"/>
            </w:tcBorders>
            <w:hideMark/>
          </w:tcPr>
          <w:p w14:paraId="56F0355E" w14:textId="77777777" w:rsidR="00000000" w:rsidRDefault="00000000">
            <w:pPr>
              <w:pStyle w:val="anchor"/>
            </w:pPr>
            <w:r>
              <w:t>23.02.2024</w:t>
            </w:r>
          </w:p>
        </w:tc>
        <w:tc>
          <w:tcPr>
            <w:tcW w:w="5206" w:type="dxa"/>
            <w:tcBorders>
              <w:top w:val="outset" w:sz="6" w:space="0" w:color="auto"/>
              <w:left w:val="outset" w:sz="6" w:space="0" w:color="auto"/>
              <w:bottom w:val="outset" w:sz="6" w:space="0" w:color="auto"/>
              <w:right w:val="outset" w:sz="6" w:space="0" w:color="auto"/>
            </w:tcBorders>
            <w:hideMark/>
          </w:tcPr>
          <w:p w14:paraId="583C4CF0" w14:textId="77777777" w:rsidR="00000000" w:rsidRDefault="00000000">
            <w:pPr>
              <w:pStyle w:val="anchor"/>
            </w:pPr>
            <w:r>
              <w:rPr>
                <w:b/>
                <w:bCs/>
              </w:rPr>
              <w:t>Мінфін затвердив новий порядок відкриття рахунків у Казначействі</w:t>
            </w:r>
          </w:p>
          <w:p w14:paraId="1C607259" w14:textId="77777777" w:rsidR="00000000" w:rsidRDefault="00000000">
            <w:pPr>
              <w:pStyle w:val="anchor"/>
            </w:pPr>
            <w:r>
              <w:t>Мінфін виклав у новій редакції Порядок відкриття та закриття рахунків у національній валюті в органах Державної казначейської служби України.</w:t>
            </w:r>
          </w:p>
          <w:p w14:paraId="3B0F8E09" w14:textId="77777777" w:rsidR="00000000" w:rsidRDefault="00000000">
            <w:pPr>
              <w:pStyle w:val="anchor"/>
            </w:pPr>
            <w:r>
              <w:t>Мета змін:</w:t>
            </w:r>
          </w:p>
          <w:p w14:paraId="5EC8B09B" w14:textId="77777777" w:rsidR="00000000" w:rsidRDefault="00000000">
            <w:pPr>
              <w:pStyle w:val="listitem"/>
              <w:numPr>
                <w:ilvl w:val="0"/>
                <w:numId w:val="8"/>
              </w:numPr>
              <w:rPr>
                <w:rFonts w:eastAsia="Times New Roman"/>
              </w:rPr>
            </w:pPr>
            <w:r>
              <w:rPr>
                <w:rFonts w:eastAsia="Times New Roman"/>
              </w:rPr>
              <w:t>гармонізувати та оптимізувати процеси та перелік документів, що застосовують під час відкриття/закриття рахунків клієнтів в органах Казначейства та їх подальшого розрахунково-касового обслуговування, у тому числі дистанційного;</w:t>
            </w:r>
          </w:p>
          <w:p w14:paraId="542C1322" w14:textId="77777777" w:rsidR="00000000" w:rsidRDefault="00000000">
            <w:pPr>
              <w:pStyle w:val="listitem"/>
              <w:numPr>
                <w:ilvl w:val="0"/>
                <w:numId w:val="8"/>
              </w:numPr>
              <w:rPr>
                <w:rFonts w:eastAsia="Times New Roman"/>
              </w:rPr>
            </w:pPr>
            <w:r>
              <w:rPr>
                <w:rFonts w:eastAsia="Times New Roman"/>
              </w:rPr>
              <w:t>посилити відповідальність клієнтів та їх посадових осіб за інформаційну безпеку під час підключення та використання системи дистанційного обслуговування «Клієнт казначейства — Казначейство».</w:t>
            </w:r>
          </w:p>
          <w:p w14:paraId="39E6DD9D" w14:textId="77777777" w:rsidR="00000000" w:rsidRDefault="00000000">
            <w:pPr>
              <w:pStyle w:val="anchor"/>
            </w:pPr>
            <w:r>
              <w:t xml:space="preserve">Зокрема, новою редакцією Порядку пропонують клієнтам разом із карткою (тимчасовою карткою) зі зразками підписів та відбитка печатки подавати до органів Казначейства інформацію про кваліфіковані </w:t>
            </w:r>
            <w:r>
              <w:lastRenderedPageBreak/>
              <w:t>електронні підписи та кваліфіковану електронну печатку (додаток 10 до Порядку).</w:t>
            </w:r>
          </w:p>
          <w:p w14:paraId="68D096D7" w14:textId="77777777" w:rsidR="00000000" w:rsidRDefault="00000000">
            <w:pPr>
              <w:pStyle w:val="anchor"/>
            </w:pPr>
            <w:hyperlink r:id="rId14" w:tgtFrame="_blank" w:history="1">
              <w:r>
                <w:rPr>
                  <w:rStyle w:val="a6"/>
                  <w:color w:val="0000FF"/>
                  <w:u w:val="single"/>
                </w:rPr>
                <w:t>&gt;&gt; Детальніше про зміни</w:t>
              </w:r>
            </w:hyperlink>
          </w:p>
        </w:tc>
        <w:tc>
          <w:tcPr>
            <w:tcW w:w="1818" w:type="dxa"/>
            <w:tcBorders>
              <w:top w:val="outset" w:sz="6" w:space="0" w:color="auto"/>
              <w:left w:val="outset" w:sz="6" w:space="0" w:color="auto"/>
              <w:bottom w:val="outset" w:sz="6" w:space="0" w:color="auto"/>
              <w:right w:val="outset" w:sz="6" w:space="0" w:color="auto"/>
            </w:tcBorders>
            <w:hideMark/>
          </w:tcPr>
          <w:p w14:paraId="2537A8E6" w14:textId="77777777" w:rsidR="00000000" w:rsidRDefault="00000000">
            <w:pPr>
              <w:pStyle w:val="anchor"/>
            </w:pPr>
            <w:r>
              <w:lastRenderedPageBreak/>
              <w:t>Наказ Мінфіну «Про внесення змін до Порядку відкриття та закриття рахунків у національній валюті в органах Державної казначейської служби України» від 18.01.2024 № 23</w:t>
            </w:r>
          </w:p>
        </w:tc>
      </w:tr>
      <w:tr w:rsidR="00000000" w14:paraId="4169664C" w14:textId="77777777">
        <w:trPr>
          <w:divId w:val="1414009360"/>
          <w:trHeight w:val="152"/>
          <w:tblCellSpacing w:w="0" w:type="dxa"/>
        </w:trPr>
        <w:tc>
          <w:tcPr>
            <w:tcW w:w="1592" w:type="dxa"/>
            <w:tcBorders>
              <w:top w:val="outset" w:sz="6" w:space="0" w:color="auto"/>
              <w:left w:val="outset" w:sz="6" w:space="0" w:color="auto"/>
              <w:bottom w:val="outset" w:sz="6" w:space="0" w:color="auto"/>
              <w:right w:val="outset" w:sz="6" w:space="0" w:color="auto"/>
            </w:tcBorders>
            <w:hideMark/>
          </w:tcPr>
          <w:p w14:paraId="24DFF979" w14:textId="77777777" w:rsidR="00000000" w:rsidRDefault="00000000">
            <w:pPr>
              <w:pStyle w:val="anchor"/>
            </w:pPr>
            <w:r>
              <w:t>15.02.2024</w:t>
            </w:r>
          </w:p>
        </w:tc>
        <w:tc>
          <w:tcPr>
            <w:tcW w:w="5206" w:type="dxa"/>
            <w:tcBorders>
              <w:top w:val="outset" w:sz="6" w:space="0" w:color="auto"/>
              <w:left w:val="outset" w:sz="6" w:space="0" w:color="auto"/>
              <w:bottom w:val="outset" w:sz="6" w:space="0" w:color="auto"/>
              <w:right w:val="outset" w:sz="6" w:space="0" w:color="auto"/>
            </w:tcBorders>
            <w:hideMark/>
          </w:tcPr>
          <w:p w14:paraId="3F726ED9" w14:textId="77777777" w:rsidR="00000000" w:rsidRDefault="00000000">
            <w:pPr>
              <w:pStyle w:val="anchor"/>
            </w:pPr>
            <w:r>
              <w:rPr>
                <w:b/>
                <w:bCs/>
              </w:rPr>
              <w:t>Міноборони делегуватиме повноваження для нагальних оборонних закупівель</w:t>
            </w:r>
          </w:p>
          <w:p w14:paraId="24135725" w14:textId="77777777" w:rsidR="00000000" w:rsidRDefault="00000000">
            <w:pPr>
              <w:pStyle w:val="anchor"/>
            </w:pPr>
            <w:r>
              <w:t>КМУ врегулював деякі питання, щоб задовольнити нагальні потреби сил безпеки і оборони.</w:t>
            </w:r>
          </w:p>
          <w:p w14:paraId="1502F7E4" w14:textId="77777777" w:rsidR="00000000" w:rsidRDefault="00000000">
            <w:pPr>
              <w:pStyle w:val="anchor"/>
            </w:pPr>
            <w:r>
              <w:t>КМУ дозволив Міноборони в умовах воєнного стану за згодою та в обсягах видатків, погоджених КМУ, ухвалювати рішення щодо делегування повноважень здійснення закупівель товарів, робіт і послуг оборонного призначення на виконання бюджетної програми КПКВК 2101150 «Розвиток, закупівля, модернізація та ремонт озброєння, військової техніки, засобів та обладнання».</w:t>
            </w:r>
          </w:p>
          <w:p w14:paraId="2DECAA50" w14:textId="77777777" w:rsidR="00000000" w:rsidRDefault="00000000">
            <w:pPr>
              <w:pStyle w:val="anchor"/>
            </w:pPr>
            <w:hyperlink r:id="rId15" w:tgtFrame="_blank" w:history="1">
              <w:r>
                <w:rPr>
                  <w:rStyle w:val="a6"/>
                  <w:color w:val="0000FF"/>
                  <w:u w:val="single"/>
                </w:rPr>
                <w:t>&gt;&gt; Детальніше про зміни</w:t>
              </w:r>
            </w:hyperlink>
          </w:p>
        </w:tc>
        <w:tc>
          <w:tcPr>
            <w:tcW w:w="1818" w:type="dxa"/>
            <w:tcBorders>
              <w:top w:val="outset" w:sz="6" w:space="0" w:color="auto"/>
              <w:left w:val="outset" w:sz="6" w:space="0" w:color="auto"/>
              <w:bottom w:val="outset" w:sz="6" w:space="0" w:color="auto"/>
              <w:right w:val="outset" w:sz="6" w:space="0" w:color="auto"/>
            </w:tcBorders>
            <w:hideMark/>
          </w:tcPr>
          <w:p w14:paraId="6B4E99A6" w14:textId="77777777" w:rsidR="00000000" w:rsidRDefault="00000000">
            <w:pPr>
              <w:pStyle w:val="anchor"/>
            </w:pPr>
            <w:r>
              <w:t>Постанова КМУ «Деякі питання здійснення оборонних закупівель державними замовниками у сфері оборони в умовах воєнного стану» від 13.02.2024 № 160</w:t>
            </w:r>
          </w:p>
        </w:tc>
      </w:tr>
      <w:tr w:rsidR="00000000" w14:paraId="49AEC296" w14:textId="77777777">
        <w:trPr>
          <w:divId w:val="1414009360"/>
          <w:trHeight w:val="152"/>
          <w:tblCellSpacing w:w="0" w:type="dxa"/>
        </w:trPr>
        <w:tc>
          <w:tcPr>
            <w:tcW w:w="1592" w:type="dxa"/>
            <w:tcBorders>
              <w:top w:val="outset" w:sz="6" w:space="0" w:color="auto"/>
              <w:left w:val="outset" w:sz="6" w:space="0" w:color="auto"/>
              <w:bottom w:val="outset" w:sz="6" w:space="0" w:color="auto"/>
              <w:right w:val="outset" w:sz="6" w:space="0" w:color="auto"/>
            </w:tcBorders>
            <w:hideMark/>
          </w:tcPr>
          <w:p w14:paraId="03864828" w14:textId="77777777" w:rsidR="00000000" w:rsidRDefault="00000000">
            <w:pPr>
              <w:pStyle w:val="anchor"/>
            </w:pPr>
            <w:r>
              <w:t>13.02.2024</w:t>
            </w:r>
          </w:p>
        </w:tc>
        <w:tc>
          <w:tcPr>
            <w:tcW w:w="5206" w:type="dxa"/>
            <w:tcBorders>
              <w:top w:val="outset" w:sz="6" w:space="0" w:color="auto"/>
              <w:left w:val="outset" w:sz="6" w:space="0" w:color="auto"/>
              <w:bottom w:val="outset" w:sz="6" w:space="0" w:color="auto"/>
              <w:right w:val="outset" w:sz="6" w:space="0" w:color="auto"/>
            </w:tcBorders>
            <w:hideMark/>
          </w:tcPr>
          <w:p w14:paraId="518AD224" w14:textId="77777777" w:rsidR="00000000" w:rsidRDefault="00000000">
            <w:pPr>
              <w:pStyle w:val="anchor"/>
            </w:pPr>
            <w:r>
              <w:rPr>
                <w:b/>
                <w:bCs/>
              </w:rPr>
              <w:t>Свіжі зміни в Особливостях — що враховувати</w:t>
            </w:r>
          </w:p>
          <w:p w14:paraId="55AC7DFA" w14:textId="77777777" w:rsidR="00000000" w:rsidRDefault="00000000">
            <w:pPr>
              <w:pStyle w:val="anchor"/>
            </w:pPr>
            <w:r>
              <w:t>Особливості зазнали чергових змін. Постанова № 131, яка внесла зміни, офіційно опублікована в Урядовому кур’єрі від 13.02.2024 № 31 (7691). Тож окремі зміни, що вона передбачає, набрали чинності 13.02.2024, а решта — 14.03.2024.</w:t>
            </w:r>
          </w:p>
          <w:p w14:paraId="5569C3EC" w14:textId="77777777" w:rsidR="00000000" w:rsidRDefault="00000000">
            <w:pPr>
              <w:pStyle w:val="anchor"/>
            </w:pPr>
            <w:r>
              <w:t xml:space="preserve">На що саме орієнтуватися замовникам — читайте </w:t>
            </w:r>
            <w:hyperlink r:id="rId16" w:tgtFrame="_blank" w:history="1">
              <w:r>
                <w:rPr>
                  <w:rStyle w:val="a6"/>
                  <w:color w:val="0000FF"/>
                  <w:u w:val="single"/>
                </w:rPr>
                <w:t>у коментарі &gt;&gt;</w:t>
              </w:r>
            </w:hyperlink>
          </w:p>
        </w:tc>
        <w:tc>
          <w:tcPr>
            <w:tcW w:w="1818" w:type="dxa"/>
            <w:tcBorders>
              <w:top w:val="outset" w:sz="6" w:space="0" w:color="auto"/>
              <w:left w:val="outset" w:sz="6" w:space="0" w:color="auto"/>
              <w:bottom w:val="outset" w:sz="6" w:space="0" w:color="auto"/>
              <w:right w:val="outset" w:sz="6" w:space="0" w:color="auto"/>
            </w:tcBorders>
            <w:hideMark/>
          </w:tcPr>
          <w:p w14:paraId="558E2859" w14:textId="77777777" w:rsidR="00000000" w:rsidRDefault="00000000">
            <w:pPr>
              <w:pStyle w:val="anchor"/>
            </w:pPr>
            <w:r>
              <w:t>Постанова КМУ «Про внесення змін до постанови Кабінету Міністрів України від 12 жовтня 2022 р. N 1178» від 09.02.2024 № 131</w:t>
            </w:r>
          </w:p>
        </w:tc>
      </w:tr>
      <w:tr w:rsidR="00000000" w14:paraId="4CA71E66" w14:textId="77777777">
        <w:trPr>
          <w:divId w:val="1414009360"/>
          <w:trHeight w:val="152"/>
          <w:tblCellSpacing w:w="0" w:type="dxa"/>
        </w:trPr>
        <w:tc>
          <w:tcPr>
            <w:tcW w:w="1592" w:type="dxa"/>
            <w:tcBorders>
              <w:top w:val="outset" w:sz="6" w:space="0" w:color="auto"/>
              <w:left w:val="outset" w:sz="6" w:space="0" w:color="auto"/>
              <w:bottom w:val="outset" w:sz="6" w:space="0" w:color="auto"/>
              <w:right w:val="outset" w:sz="6" w:space="0" w:color="auto"/>
            </w:tcBorders>
            <w:hideMark/>
          </w:tcPr>
          <w:p w14:paraId="506BCFAE" w14:textId="77777777" w:rsidR="00000000" w:rsidRDefault="00000000">
            <w:pPr>
              <w:pStyle w:val="anchor"/>
            </w:pPr>
            <w:r>
              <w:t>13.02.2024</w:t>
            </w:r>
          </w:p>
        </w:tc>
        <w:tc>
          <w:tcPr>
            <w:tcW w:w="5206" w:type="dxa"/>
            <w:tcBorders>
              <w:top w:val="outset" w:sz="6" w:space="0" w:color="auto"/>
              <w:left w:val="outset" w:sz="6" w:space="0" w:color="auto"/>
              <w:bottom w:val="outset" w:sz="6" w:space="0" w:color="auto"/>
              <w:right w:val="outset" w:sz="6" w:space="0" w:color="auto"/>
            </w:tcBorders>
            <w:hideMark/>
          </w:tcPr>
          <w:p w14:paraId="530B2239" w14:textId="77777777" w:rsidR="00000000" w:rsidRDefault="00000000">
            <w:pPr>
              <w:pStyle w:val="anchor"/>
            </w:pPr>
            <w:r>
              <w:rPr>
                <w:b/>
                <w:bCs/>
              </w:rPr>
              <w:t>Воєнний стан та загальну мобілізацію в Україні продовжили</w:t>
            </w:r>
          </w:p>
          <w:p w14:paraId="6D2CC0A4" w14:textId="77777777" w:rsidR="00000000" w:rsidRDefault="00000000">
            <w:pPr>
              <w:pStyle w:val="anchor"/>
            </w:pPr>
            <w:r>
              <w:t>13 лютого 2024 року опублікували в «Голосі України» № 30 Закони України:</w:t>
            </w:r>
          </w:p>
          <w:p w14:paraId="68E74EE8" w14:textId="77777777" w:rsidR="00000000" w:rsidRDefault="00000000">
            <w:pPr>
              <w:pStyle w:val="listitem"/>
              <w:numPr>
                <w:ilvl w:val="0"/>
                <w:numId w:val="10"/>
              </w:numPr>
              <w:rPr>
                <w:rFonts w:eastAsia="Times New Roman"/>
              </w:rPr>
            </w:pPr>
            <w:r>
              <w:rPr>
                <w:rFonts w:eastAsia="Times New Roman"/>
              </w:rPr>
              <w:t>«Про затвердження Указу Президента України «Про продовження строку дії воєнного стану в Україні» від 06.02.2024 № 3564-IX (законопроєкт від 05.02.2024 № 10456). Закон набрав чинності з дня опублікування, тобто з 13.02.2024.</w:t>
            </w:r>
          </w:p>
          <w:p w14:paraId="0CCB19E3" w14:textId="77777777" w:rsidR="00000000" w:rsidRDefault="00000000">
            <w:pPr>
              <w:pStyle w:val="listitem"/>
              <w:numPr>
                <w:ilvl w:val="0"/>
                <w:numId w:val="10"/>
              </w:numPr>
              <w:rPr>
                <w:rFonts w:eastAsia="Times New Roman"/>
              </w:rPr>
            </w:pPr>
            <w:r>
              <w:rPr>
                <w:rFonts w:eastAsia="Times New Roman"/>
              </w:rPr>
              <w:t>«Про затвердження Указу Президента України «Про продовження строку проведення загальної мобілізації» від 06.02.2024 № 3565-IX (законопроєкт від 05.02.2024 № 10457). Закон набере чинності 14.02.2024.</w:t>
            </w:r>
          </w:p>
          <w:p w14:paraId="66ACD9C0" w14:textId="77777777" w:rsidR="00000000" w:rsidRDefault="00000000">
            <w:pPr>
              <w:pStyle w:val="anchor"/>
            </w:pPr>
            <w:r>
              <w:t xml:space="preserve">Дію воєнного стану та строк загальної мобілізації продовжують з 14 лютого 2023 року на 90 діб — </w:t>
            </w:r>
            <w:r>
              <w:rPr>
                <w:rStyle w:val="a6"/>
              </w:rPr>
              <w:t>до 14.05.2024</w:t>
            </w:r>
          </w:p>
        </w:tc>
        <w:tc>
          <w:tcPr>
            <w:tcW w:w="1818" w:type="dxa"/>
            <w:tcBorders>
              <w:top w:val="outset" w:sz="6" w:space="0" w:color="auto"/>
              <w:left w:val="outset" w:sz="6" w:space="0" w:color="auto"/>
              <w:bottom w:val="outset" w:sz="6" w:space="0" w:color="auto"/>
              <w:right w:val="outset" w:sz="6" w:space="0" w:color="auto"/>
            </w:tcBorders>
            <w:hideMark/>
          </w:tcPr>
          <w:p w14:paraId="102A951C" w14:textId="77777777" w:rsidR="00000000" w:rsidRDefault="00000000">
            <w:pPr>
              <w:pStyle w:val="anchor"/>
            </w:pPr>
            <w:r>
              <w:t>Закони України «Про затвердження Указу Президента України «Про продовження строку дії воєнного стану в Україні» від 06.02.2024 № 3564-IX, «Про затвердження Указу Президента України «Про продовження строку проведення загальної мобілізації» від 06.02.2024 № 3565-IX</w:t>
            </w:r>
          </w:p>
        </w:tc>
      </w:tr>
      <w:tr w:rsidR="00000000" w14:paraId="5559CD90" w14:textId="77777777">
        <w:trPr>
          <w:divId w:val="1414009360"/>
          <w:trHeight w:val="152"/>
          <w:tblCellSpacing w:w="0" w:type="dxa"/>
        </w:trPr>
        <w:tc>
          <w:tcPr>
            <w:tcW w:w="1592" w:type="dxa"/>
            <w:tcBorders>
              <w:top w:val="outset" w:sz="6" w:space="0" w:color="auto"/>
              <w:left w:val="outset" w:sz="6" w:space="0" w:color="auto"/>
              <w:bottom w:val="outset" w:sz="6" w:space="0" w:color="auto"/>
              <w:right w:val="outset" w:sz="6" w:space="0" w:color="auto"/>
            </w:tcBorders>
            <w:hideMark/>
          </w:tcPr>
          <w:p w14:paraId="424616FB" w14:textId="77777777" w:rsidR="00000000" w:rsidRDefault="00000000">
            <w:pPr>
              <w:pStyle w:val="anchor"/>
            </w:pPr>
            <w:r>
              <w:lastRenderedPageBreak/>
              <w:t> </w:t>
            </w:r>
          </w:p>
        </w:tc>
        <w:tc>
          <w:tcPr>
            <w:tcW w:w="5206" w:type="dxa"/>
            <w:tcBorders>
              <w:top w:val="outset" w:sz="6" w:space="0" w:color="auto"/>
              <w:left w:val="outset" w:sz="6" w:space="0" w:color="auto"/>
              <w:bottom w:val="outset" w:sz="6" w:space="0" w:color="auto"/>
              <w:right w:val="outset" w:sz="6" w:space="0" w:color="auto"/>
            </w:tcBorders>
            <w:hideMark/>
          </w:tcPr>
          <w:p w14:paraId="15EC728E" w14:textId="77777777" w:rsidR="00000000" w:rsidRDefault="00000000">
            <w:pPr>
              <w:pStyle w:val="anchor"/>
            </w:pPr>
            <w:r>
              <w:rPr>
                <w:b/>
                <w:bCs/>
              </w:rPr>
              <w:t>До 1 серпня 2024 року оновлять автоматичні ризик індикатори у закупівлях</w:t>
            </w:r>
          </w:p>
          <w:p w14:paraId="2AF35D1F" w14:textId="77777777" w:rsidR="00000000" w:rsidRDefault="00000000">
            <w:pPr>
              <w:pStyle w:val="anchor"/>
            </w:pPr>
            <w:r>
              <w:t>Мінфін та Мінекономіки визначили етапи оновлення автоматичних індикаторів ризиків у сфері публічних закупівель.</w:t>
            </w:r>
          </w:p>
          <w:p w14:paraId="55483631" w14:textId="77777777" w:rsidR="00000000" w:rsidRDefault="00000000">
            <w:pPr>
              <w:pStyle w:val="anchor"/>
            </w:pPr>
            <w:r>
              <w:t>До 01.03.2024 Держаудитслужба має переглянути та надіслати ДП «Прозорро» перелік автоматичних індикаторів ризиків, які можуть вказувати на ознаки порушень законодавства у сфері публічних закупівель. А також — зазначити мету розрахунку цих індикаторів та ознаки порушень, про які вони можуть свідчити.</w:t>
            </w:r>
          </w:p>
          <w:p w14:paraId="4E53DE07" w14:textId="77777777" w:rsidR="00000000" w:rsidRDefault="00000000">
            <w:pPr>
              <w:pStyle w:val="anchor"/>
            </w:pPr>
            <w:r>
              <w:t>ДП «Прозорро» спільно з Держаудитслужбою мають:</w:t>
            </w:r>
          </w:p>
          <w:p w14:paraId="02797F6C" w14:textId="77777777" w:rsidR="00000000" w:rsidRDefault="00000000">
            <w:pPr>
              <w:pStyle w:val="listitem"/>
              <w:numPr>
                <w:ilvl w:val="0"/>
                <w:numId w:val="12"/>
              </w:numPr>
              <w:rPr>
                <w:rFonts w:eastAsia="Times New Roman"/>
              </w:rPr>
            </w:pPr>
            <w:r>
              <w:rPr>
                <w:rFonts w:eastAsia="Times New Roman"/>
              </w:rPr>
              <w:t>до 01.04.2024 розробити опис алгоритмів спрацювання автоматичних індикаторів ризиків, визначених Держаудитслужбою, на основі даних, наявних в ЕСЗ;</w:t>
            </w:r>
          </w:p>
          <w:p w14:paraId="0A1A13A7" w14:textId="77777777" w:rsidR="00000000" w:rsidRDefault="00000000">
            <w:pPr>
              <w:pStyle w:val="listitem"/>
              <w:numPr>
                <w:ilvl w:val="0"/>
                <w:numId w:val="12"/>
              </w:numPr>
              <w:rPr>
                <w:rFonts w:eastAsia="Times New Roman"/>
              </w:rPr>
            </w:pPr>
            <w:r>
              <w:rPr>
                <w:rFonts w:eastAsia="Times New Roman"/>
              </w:rPr>
              <w:t>до 01.07.2024 провести експериментальне тестування того, як спрацьовують алгоритми застосування автоматичних індикаторів ризиків, та забезпечити їх доопрацювання за потреби.</w:t>
            </w:r>
          </w:p>
          <w:p w14:paraId="257090BD" w14:textId="77777777" w:rsidR="00000000" w:rsidRDefault="00000000">
            <w:pPr>
              <w:pStyle w:val="anchor"/>
            </w:pPr>
            <w:r>
              <w:t>До 01.07.2024 ДП «Прозорро» має:</w:t>
            </w:r>
          </w:p>
          <w:p w14:paraId="6A6D6D6D" w14:textId="77777777" w:rsidR="00000000" w:rsidRDefault="00000000">
            <w:pPr>
              <w:pStyle w:val="listitem"/>
              <w:numPr>
                <w:ilvl w:val="0"/>
                <w:numId w:val="14"/>
              </w:numPr>
              <w:rPr>
                <w:rFonts w:eastAsia="Times New Roman"/>
              </w:rPr>
            </w:pPr>
            <w:r>
              <w:rPr>
                <w:rFonts w:eastAsia="Times New Roman"/>
              </w:rPr>
              <w:t>забезпечити технічну можливість впровадження автоматичних індикаторів ризиків в ЕСЗ;</w:t>
            </w:r>
          </w:p>
          <w:p w14:paraId="030BEA32" w14:textId="77777777" w:rsidR="00000000" w:rsidRDefault="00000000">
            <w:pPr>
              <w:pStyle w:val="listitem"/>
              <w:numPr>
                <w:ilvl w:val="0"/>
                <w:numId w:val="14"/>
              </w:numPr>
              <w:rPr>
                <w:rFonts w:eastAsia="Times New Roman"/>
              </w:rPr>
            </w:pPr>
            <w:r>
              <w:rPr>
                <w:rFonts w:eastAsia="Times New Roman"/>
              </w:rPr>
              <w:t>доопрацювати кабінет аудитора в ЕСЗ, щоб забезпечити використання механізму відбору закупівель на основі оновлених автоматичних індикаторів ризиків, за якими Держаудитслужба проводитиме моніторинг закупівель.</w:t>
            </w:r>
          </w:p>
          <w:p w14:paraId="7B24380F" w14:textId="77777777" w:rsidR="00000000" w:rsidRDefault="00000000">
            <w:pPr>
              <w:pStyle w:val="anchor"/>
            </w:pPr>
            <w:r>
              <w:t>До 01.08.2024 Держаудитслужба за результатами тестування має подати на розгляд Мінфіну розроблені проєкти:</w:t>
            </w:r>
          </w:p>
          <w:p w14:paraId="3787849F" w14:textId="77777777" w:rsidR="00000000" w:rsidRDefault="00000000">
            <w:pPr>
              <w:pStyle w:val="listitem"/>
              <w:numPr>
                <w:ilvl w:val="0"/>
                <w:numId w:val="16"/>
              </w:numPr>
              <w:rPr>
                <w:rFonts w:eastAsia="Times New Roman"/>
              </w:rPr>
            </w:pPr>
            <w:r>
              <w:rPr>
                <w:rFonts w:eastAsia="Times New Roman"/>
              </w:rPr>
              <w:t>методики визначення автоматичних індикаторів ризиків,</w:t>
            </w:r>
          </w:p>
          <w:p w14:paraId="64F7AB31" w14:textId="77777777" w:rsidR="00000000" w:rsidRDefault="00000000">
            <w:pPr>
              <w:pStyle w:val="listitem"/>
              <w:numPr>
                <w:ilvl w:val="0"/>
                <w:numId w:val="16"/>
              </w:numPr>
              <w:rPr>
                <w:rFonts w:eastAsia="Times New Roman"/>
              </w:rPr>
            </w:pPr>
            <w:r>
              <w:rPr>
                <w:rFonts w:eastAsia="Times New Roman"/>
              </w:rPr>
              <w:t>порядку застосування оновлених автоматичних індикаторів ризиків,</w:t>
            </w:r>
          </w:p>
          <w:p w14:paraId="0C6F5211" w14:textId="77777777" w:rsidR="00000000" w:rsidRDefault="00000000">
            <w:pPr>
              <w:pStyle w:val="listitem"/>
              <w:numPr>
                <w:ilvl w:val="0"/>
                <w:numId w:val="16"/>
              </w:numPr>
              <w:rPr>
                <w:rFonts w:eastAsia="Times New Roman"/>
              </w:rPr>
            </w:pPr>
            <w:r>
              <w:rPr>
                <w:rFonts w:eastAsia="Times New Roman"/>
              </w:rPr>
              <w:t>переліку автоматичних індикаторів ризиків</w:t>
            </w:r>
          </w:p>
        </w:tc>
        <w:tc>
          <w:tcPr>
            <w:tcW w:w="1818" w:type="dxa"/>
            <w:tcBorders>
              <w:top w:val="outset" w:sz="6" w:space="0" w:color="auto"/>
              <w:left w:val="outset" w:sz="6" w:space="0" w:color="auto"/>
              <w:bottom w:val="outset" w:sz="6" w:space="0" w:color="auto"/>
              <w:right w:val="outset" w:sz="6" w:space="0" w:color="auto"/>
            </w:tcBorders>
            <w:hideMark/>
          </w:tcPr>
          <w:p w14:paraId="25AC12CB" w14:textId="77777777" w:rsidR="00000000" w:rsidRDefault="00000000">
            <w:pPr>
              <w:pStyle w:val="anchor"/>
            </w:pPr>
            <w:r>
              <w:t>Наказ Мінфіну та Мінекономіки «Про оновлення автоматичних індикаторів ризиків у сфері публічних закупівель» від 12.02.2024 № 66/3757</w:t>
            </w:r>
          </w:p>
        </w:tc>
      </w:tr>
      <w:tr w:rsidR="00000000" w14:paraId="4829547D" w14:textId="77777777">
        <w:trPr>
          <w:divId w:val="1414009360"/>
          <w:trHeight w:val="152"/>
          <w:tblCellSpacing w:w="0" w:type="dxa"/>
        </w:trPr>
        <w:tc>
          <w:tcPr>
            <w:tcW w:w="1592" w:type="dxa"/>
            <w:tcBorders>
              <w:top w:val="outset" w:sz="6" w:space="0" w:color="auto"/>
              <w:left w:val="outset" w:sz="6" w:space="0" w:color="auto"/>
              <w:bottom w:val="outset" w:sz="6" w:space="0" w:color="auto"/>
              <w:right w:val="outset" w:sz="6" w:space="0" w:color="auto"/>
            </w:tcBorders>
            <w:hideMark/>
          </w:tcPr>
          <w:p w14:paraId="712FE2A7" w14:textId="77777777" w:rsidR="00000000" w:rsidRDefault="00000000">
            <w:pPr>
              <w:pStyle w:val="anchor"/>
            </w:pPr>
            <w:r>
              <w:lastRenderedPageBreak/>
              <w:t>10.02.2024</w:t>
            </w:r>
          </w:p>
        </w:tc>
        <w:tc>
          <w:tcPr>
            <w:tcW w:w="5206" w:type="dxa"/>
            <w:tcBorders>
              <w:top w:val="outset" w:sz="6" w:space="0" w:color="auto"/>
              <w:left w:val="outset" w:sz="6" w:space="0" w:color="auto"/>
              <w:bottom w:val="outset" w:sz="6" w:space="0" w:color="auto"/>
              <w:right w:val="outset" w:sz="6" w:space="0" w:color="auto"/>
            </w:tcBorders>
            <w:hideMark/>
          </w:tcPr>
          <w:p w14:paraId="55171C99" w14:textId="77777777" w:rsidR="00000000" w:rsidRDefault="00000000">
            <w:pPr>
              <w:pStyle w:val="anchor"/>
            </w:pPr>
            <w:r>
              <w:rPr>
                <w:b/>
                <w:bCs/>
              </w:rPr>
              <w:t>Нові правила перерахунку вартості неякісних компослуг</w:t>
            </w:r>
          </w:p>
          <w:p w14:paraId="72B10434" w14:textId="77777777" w:rsidR="00000000" w:rsidRDefault="00000000">
            <w:pPr>
              <w:pStyle w:val="anchor"/>
            </w:pPr>
            <w:r>
              <w:t>КМУ затвердив Порядок здійснення перерахунку вартості комунальних послуг за період їх ненадання, надання не в повному обсязі або невідповідної якості (далі — Порядок).</w:t>
            </w:r>
          </w:p>
          <w:p w14:paraId="0BFB2AF1" w14:textId="77777777" w:rsidR="00000000" w:rsidRDefault="00000000">
            <w:pPr>
              <w:pStyle w:val="anchor"/>
            </w:pPr>
            <w:r>
              <w:t>Порядок стосується послуг з постачання теплової енергії та постачання гарячої води, централізованого водопостачання та водовідведення, управління побутовими відходами.</w:t>
            </w:r>
          </w:p>
          <w:p w14:paraId="3DAB1054" w14:textId="77777777" w:rsidR="00000000" w:rsidRDefault="00000000">
            <w:pPr>
              <w:pStyle w:val="anchor"/>
            </w:pPr>
            <w:r>
              <w:t>Порядок визначає:</w:t>
            </w:r>
          </w:p>
          <w:p w14:paraId="669E49DE" w14:textId="77777777" w:rsidR="00000000" w:rsidRDefault="00000000">
            <w:pPr>
              <w:pStyle w:val="listitem"/>
              <w:numPr>
                <w:ilvl w:val="0"/>
                <w:numId w:val="18"/>
              </w:numPr>
              <w:rPr>
                <w:rFonts w:eastAsia="Times New Roman"/>
              </w:rPr>
            </w:pPr>
            <w:r>
              <w:rPr>
                <w:rFonts w:eastAsia="Times New Roman"/>
              </w:rPr>
              <w:t>механізм та умови перерахунку вартості компослуг за період їх ненадання, надання не в повному обсязі або невідповідної якості;</w:t>
            </w:r>
          </w:p>
          <w:p w14:paraId="6184C44E" w14:textId="77777777" w:rsidR="00000000" w:rsidRDefault="00000000">
            <w:pPr>
              <w:pStyle w:val="listitem"/>
              <w:numPr>
                <w:ilvl w:val="0"/>
                <w:numId w:val="18"/>
              </w:numPr>
              <w:rPr>
                <w:rFonts w:eastAsia="Times New Roman"/>
              </w:rPr>
            </w:pPr>
            <w:r>
              <w:rPr>
                <w:rFonts w:eastAsia="Times New Roman"/>
              </w:rPr>
              <w:t>кількісні та якісні характеристики надання компослуг, що їх враховує виконавець під час перерахунку;</w:t>
            </w:r>
          </w:p>
          <w:p w14:paraId="3D6BCB70" w14:textId="77777777" w:rsidR="00000000" w:rsidRDefault="00000000">
            <w:pPr>
              <w:pStyle w:val="listitem"/>
              <w:numPr>
                <w:ilvl w:val="0"/>
                <w:numId w:val="18"/>
              </w:numPr>
              <w:rPr>
                <w:rFonts w:eastAsia="Times New Roman"/>
              </w:rPr>
            </w:pPr>
            <w:r>
              <w:rPr>
                <w:rFonts w:eastAsia="Times New Roman"/>
              </w:rPr>
              <w:t>особливості перерахунку вартості компослуг залежно від виду договору, який уклали виконавець та споживач, та умов нарахування плати за ці послуги;</w:t>
            </w:r>
          </w:p>
          <w:p w14:paraId="6B685F20" w14:textId="77777777" w:rsidR="00000000" w:rsidRDefault="00000000">
            <w:pPr>
              <w:pStyle w:val="listitem"/>
              <w:numPr>
                <w:ilvl w:val="0"/>
                <w:numId w:val="18"/>
              </w:numPr>
              <w:rPr>
                <w:rFonts w:eastAsia="Times New Roman"/>
              </w:rPr>
            </w:pPr>
            <w:r>
              <w:rPr>
                <w:rFonts w:eastAsia="Times New Roman"/>
              </w:rPr>
              <w:t>умови, за яких перерахунок не проводять.</w:t>
            </w:r>
          </w:p>
          <w:p w14:paraId="1E164DDB" w14:textId="77777777" w:rsidR="00000000" w:rsidRDefault="00000000">
            <w:pPr>
              <w:pStyle w:val="anchor"/>
            </w:pPr>
            <w:hyperlink r:id="rId17" w:tgtFrame="_blank" w:history="1">
              <w:r>
                <w:rPr>
                  <w:rStyle w:val="a3"/>
                  <w:b/>
                  <w:bCs/>
                </w:rPr>
                <w:t>&gt;&gt; Детальніше про зміни</w:t>
              </w:r>
            </w:hyperlink>
          </w:p>
        </w:tc>
        <w:tc>
          <w:tcPr>
            <w:tcW w:w="1818" w:type="dxa"/>
            <w:tcBorders>
              <w:top w:val="outset" w:sz="6" w:space="0" w:color="auto"/>
              <w:left w:val="outset" w:sz="6" w:space="0" w:color="auto"/>
              <w:bottom w:val="outset" w:sz="6" w:space="0" w:color="auto"/>
              <w:right w:val="outset" w:sz="6" w:space="0" w:color="auto"/>
            </w:tcBorders>
            <w:hideMark/>
          </w:tcPr>
          <w:p w14:paraId="58B58E84" w14:textId="77777777" w:rsidR="00000000" w:rsidRDefault="00000000">
            <w:pPr>
              <w:pStyle w:val="anchor"/>
            </w:pPr>
            <w:r>
              <w:t>Постанова КМУ «Деякі питання здійснення перерахунку вартості комунальних послуг за період їх ненадання, надання не в повному обсязі або невідповідної якості» від 06.02.2024 № 127</w:t>
            </w:r>
          </w:p>
        </w:tc>
      </w:tr>
      <w:tr w:rsidR="00000000" w14:paraId="1577CB39" w14:textId="77777777">
        <w:trPr>
          <w:divId w:val="1414009360"/>
          <w:trHeight w:val="152"/>
          <w:tblCellSpacing w:w="0" w:type="dxa"/>
        </w:trPr>
        <w:tc>
          <w:tcPr>
            <w:tcW w:w="1592" w:type="dxa"/>
            <w:tcBorders>
              <w:top w:val="outset" w:sz="6" w:space="0" w:color="auto"/>
              <w:left w:val="outset" w:sz="6" w:space="0" w:color="auto"/>
              <w:bottom w:val="outset" w:sz="6" w:space="0" w:color="auto"/>
              <w:right w:val="outset" w:sz="6" w:space="0" w:color="auto"/>
            </w:tcBorders>
            <w:hideMark/>
          </w:tcPr>
          <w:p w14:paraId="749B26E2" w14:textId="77777777" w:rsidR="00000000" w:rsidRDefault="00000000">
            <w:pPr>
              <w:pStyle w:val="anchor"/>
            </w:pPr>
            <w:r>
              <w:t>08.02.2024</w:t>
            </w:r>
          </w:p>
        </w:tc>
        <w:tc>
          <w:tcPr>
            <w:tcW w:w="5206" w:type="dxa"/>
            <w:tcBorders>
              <w:top w:val="outset" w:sz="6" w:space="0" w:color="auto"/>
              <w:left w:val="outset" w:sz="6" w:space="0" w:color="auto"/>
              <w:bottom w:val="outset" w:sz="6" w:space="0" w:color="auto"/>
              <w:right w:val="outset" w:sz="6" w:space="0" w:color="auto"/>
            </w:tcBorders>
            <w:hideMark/>
          </w:tcPr>
          <w:p w14:paraId="7F2FA662" w14:textId="77777777" w:rsidR="00000000" w:rsidRDefault="00000000">
            <w:pPr>
              <w:pStyle w:val="anchor"/>
            </w:pPr>
            <w:r>
              <w:rPr>
                <w:b/>
                <w:bCs/>
              </w:rPr>
              <w:t>Оновили механізм реалізації Національної програми інформатизації</w:t>
            </w:r>
          </w:p>
          <w:p w14:paraId="620EE839" w14:textId="77777777" w:rsidR="00000000" w:rsidRDefault="00000000">
            <w:pPr>
              <w:pStyle w:val="anchor"/>
            </w:pPr>
            <w:r>
              <w:t>КМУ оновив механізми формування та реалізації Національної програми інформатизації (НПІ).</w:t>
            </w:r>
          </w:p>
          <w:p w14:paraId="70EFBED3" w14:textId="77777777" w:rsidR="00000000" w:rsidRDefault="00000000">
            <w:pPr>
              <w:pStyle w:val="anchor"/>
            </w:pPr>
            <w:r>
              <w:t>Нові вимоги визначають:</w:t>
            </w:r>
          </w:p>
          <w:p w14:paraId="3878A8FA" w14:textId="77777777" w:rsidR="00000000" w:rsidRDefault="00000000">
            <w:pPr>
              <w:pStyle w:val="listitem"/>
              <w:numPr>
                <w:ilvl w:val="0"/>
                <w:numId w:val="20"/>
              </w:numPr>
              <w:rPr>
                <w:rFonts w:eastAsia="Times New Roman"/>
              </w:rPr>
            </w:pPr>
            <w:r>
              <w:rPr>
                <w:rFonts w:eastAsia="Times New Roman"/>
              </w:rPr>
              <w:t>як формувати та виконувати програму;</w:t>
            </w:r>
          </w:p>
          <w:p w14:paraId="07F75045" w14:textId="77777777" w:rsidR="00000000" w:rsidRDefault="00000000">
            <w:pPr>
              <w:pStyle w:val="listitem"/>
              <w:numPr>
                <w:ilvl w:val="0"/>
                <w:numId w:val="20"/>
              </w:numPr>
              <w:rPr>
                <w:rFonts w:eastAsia="Times New Roman"/>
              </w:rPr>
            </w:pPr>
            <w:r>
              <w:rPr>
                <w:rFonts w:eastAsia="Times New Roman"/>
              </w:rPr>
              <w:t>як проводити експертизу НПІ;</w:t>
            </w:r>
          </w:p>
          <w:p w14:paraId="35CF2B8D" w14:textId="77777777" w:rsidR="00000000" w:rsidRDefault="00000000">
            <w:pPr>
              <w:pStyle w:val="listitem"/>
              <w:numPr>
                <w:ilvl w:val="0"/>
                <w:numId w:val="20"/>
              </w:numPr>
              <w:rPr>
                <w:rFonts w:eastAsia="Times New Roman"/>
              </w:rPr>
            </w:pPr>
            <w:r>
              <w:rPr>
                <w:rFonts w:eastAsia="Times New Roman"/>
              </w:rPr>
              <w:t>як розробляти та виконувати програми інформатизації для окремих галузей, регіонів і громад;</w:t>
            </w:r>
          </w:p>
          <w:p w14:paraId="67C69ACF" w14:textId="77777777" w:rsidR="00000000" w:rsidRDefault="00000000">
            <w:pPr>
              <w:pStyle w:val="listitem"/>
              <w:numPr>
                <w:ilvl w:val="0"/>
                <w:numId w:val="20"/>
              </w:numPr>
              <w:rPr>
                <w:rFonts w:eastAsia="Times New Roman"/>
              </w:rPr>
            </w:pPr>
            <w:r>
              <w:rPr>
                <w:rFonts w:eastAsia="Times New Roman"/>
              </w:rPr>
              <w:t>як моніторити та оцінювати результати НПІ.</w:t>
            </w:r>
          </w:p>
          <w:p w14:paraId="492DE831" w14:textId="77777777" w:rsidR="00000000" w:rsidRDefault="00000000">
            <w:pPr>
              <w:pStyle w:val="anchor"/>
            </w:pPr>
            <w:r>
              <w:t>За результатами експертизи, проведеної відповідно до Порядку проведення експертизи Національної програми інформатизації та її складових, генеральний замовник погоджуватиме:</w:t>
            </w:r>
          </w:p>
          <w:p w14:paraId="01317659" w14:textId="77777777" w:rsidR="00000000" w:rsidRDefault="00000000">
            <w:pPr>
              <w:pStyle w:val="listitem"/>
              <w:numPr>
                <w:ilvl w:val="0"/>
                <w:numId w:val="22"/>
              </w:numPr>
              <w:rPr>
                <w:rFonts w:eastAsia="Times New Roman"/>
              </w:rPr>
            </w:pPr>
            <w:r>
              <w:rPr>
                <w:rFonts w:eastAsia="Times New Roman"/>
              </w:rPr>
              <w:t>завдання, проєкти, роботи з інформатизації НПІ, очікувана вартість яких дорівнює або перевищує 500 тис. грн;</w:t>
            </w:r>
          </w:p>
          <w:p w14:paraId="6195DFF0" w14:textId="77777777" w:rsidR="00000000" w:rsidRDefault="00000000">
            <w:pPr>
              <w:pStyle w:val="listitem"/>
              <w:numPr>
                <w:ilvl w:val="0"/>
                <w:numId w:val="22"/>
              </w:numPr>
              <w:rPr>
                <w:rFonts w:eastAsia="Times New Roman"/>
              </w:rPr>
            </w:pPr>
            <w:r>
              <w:rPr>
                <w:rFonts w:eastAsia="Times New Roman"/>
              </w:rPr>
              <w:lastRenderedPageBreak/>
              <w:t>закупівлі послуг із підключення закладів соціальної інфраструктури до широкосмугового доступу до інтернету за кошти субвенції 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 коли їх вартість перевищує 1000 грн.</w:t>
            </w:r>
          </w:p>
          <w:p w14:paraId="4DBCEF73" w14:textId="77777777" w:rsidR="00000000" w:rsidRDefault="00000000">
            <w:pPr>
              <w:pStyle w:val="anchor"/>
            </w:pPr>
            <w:r>
              <w:t>Якщо вартість менша 500 тис. грн, генерального замовника повідомляють про укладений договір про закупівлю товарів, робіт і послуг між замовником та виконавцем завдання, проєкту, робіт з інформатизації НПІ.</w:t>
            </w:r>
          </w:p>
          <w:p w14:paraId="643AFE58" w14:textId="77777777" w:rsidR="00000000" w:rsidRDefault="00000000">
            <w:pPr>
              <w:pStyle w:val="anchor"/>
            </w:pPr>
            <w:r>
              <w:t>Якщо протягом п’яти календарних днів з дня отримання матеріалів генеральний замовник не повідомив замовнику про організацію проведення їх експертизи листом в електронній формі, такі завдання, проєкти, роботи з інформатизації вважають погодженими генеральним замовником за принципом мовчазної згоди</w:t>
            </w:r>
          </w:p>
        </w:tc>
        <w:tc>
          <w:tcPr>
            <w:tcW w:w="1818" w:type="dxa"/>
            <w:tcBorders>
              <w:top w:val="outset" w:sz="6" w:space="0" w:color="auto"/>
              <w:left w:val="outset" w:sz="6" w:space="0" w:color="auto"/>
              <w:bottom w:val="outset" w:sz="6" w:space="0" w:color="auto"/>
              <w:right w:val="outset" w:sz="6" w:space="0" w:color="auto"/>
            </w:tcBorders>
            <w:hideMark/>
          </w:tcPr>
          <w:p w14:paraId="463C6191" w14:textId="77777777" w:rsidR="00000000" w:rsidRDefault="00000000">
            <w:pPr>
              <w:pStyle w:val="anchor"/>
            </w:pPr>
            <w:r>
              <w:lastRenderedPageBreak/>
              <w:t>Постанова КМУ «Деякі питання Національної програми інформатизації» від 02.02.2024 № 119</w:t>
            </w:r>
          </w:p>
        </w:tc>
      </w:tr>
      <w:tr w:rsidR="00000000" w14:paraId="5B4772B2" w14:textId="77777777">
        <w:trPr>
          <w:divId w:val="1414009360"/>
          <w:trHeight w:val="152"/>
          <w:tblCellSpacing w:w="0" w:type="dxa"/>
        </w:trPr>
        <w:tc>
          <w:tcPr>
            <w:tcW w:w="1592" w:type="dxa"/>
            <w:tcBorders>
              <w:top w:val="outset" w:sz="6" w:space="0" w:color="auto"/>
              <w:left w:val="outset" w:sz="6" w:space="0" w:color="auto"/>
              <w:bottom w:val="outset" w:sz="6" w:space="0" w:color="auto"/>
              <w:right w:val="outset" w:sz="6" w:space="0" w:color="auto"/>
            </w:tcBorders>
            <w:hideMark/>
          </w:tcPr>
          <w:p w14:paraId="2FBC117D" w14:textId="77777777" w:rsidR="00000000" w:rsidRDefault="00000000">
            <w:pPr>
              <w:pStyle w:val="anchor"/>
            </w:pPr>
            <w:r>
              <w:t>06.02.2024</w:t>
            </w:r>
          </w:p>
        </w:tc>
        <w:tc>
          <w:tcPr>
            <w:tcW w:w="5206" w:type="dxa"/>
            <w:tcBorders>
              <w:top w:val="outset" w:sz="6" w:space="0" w:color="auto"/>
              <w:left w:val="outset" w:sz="6" w:space="0" w:color="auto"/>
              <w:bottom w:val="outset" w:sz="6" w:space="0" w:color="auto"/>
              <w:right w:val="outset" w:sz="6" w:space="0" w:color="auto"/>
            </w:tcBorders>
            <w:hideMark/>
          </w:tcPr>
          <w:p w14:paraId="5CF7C2B3" w14:textId="77777777" w:rsidR="00000000" w:rsidRDefault="00000000">
            <w:pPr>
              <w:pStyle w:val="anchor"/>
            </w:pPr>
            <w:r>
              <w:rPr>
                <w:b/>
                <w:bCs/>
              </w:rPr>
              <w:t>Як АМКУ перевірятиме суб’єктів господарювання та ОМС</w:t>
            </w:r>
          </w:p>
          <w:p w14:paraId="27F52226" w14:textId="77777777" w:rsidR="00000000" w:rsidRDefault="00000000">
            <w:pPr>
              <w:pStyle w:val="anchor"/>
            </w:pPr>
            <w:r>
              <w:t>06.02.2024 набрав чинності Порядок проведення перевірки суб’єктів господарювання, об’єднань, органів влади, органів місцевого самоврядування, органів адміністративно-господарського управління та контролю Антимонопольним комітетом України, його територіальними відділеннями (далі — Порядок).</w:t>
            </w:r>
          </w:p>
          <w:p w14:paraId="022BCC79" w14:textId="77777777" w:rsidR="00000000" w:rsidRDefault="00000000">
            <w:pPr>
              <w:pStyle w:val="anchor"/>
            </w:pPr>
            <w:r>
              <w:t>Порядок визначає, що АМКУ, його органи, територіальні відділення, працівниками АМКУ та його територіальних відділень проводитимуть перевірки суб’єктів господарювання, об’єднань, органів влади, органів місцевого самоврядування, органів адміністративно-господарського управління та контролю (далі — об’єкти перевірки).</w:t>
            </w:r>
          </w:p>
          <w:p w14:paraId="654FE811" w14:textId="77777777" w:rsidR="00000000" w:rsidRDefault="00000000">
            <w:pPr>
              <w:pStyle w:val="anchor"/>
            </w:pPr>
            <w:hyperlink r:id="rId18" w:tgtFrame="_blank" w:history="1">
              <w:r>
                <w:rPr>
                  <w:rStyle w:val="a6"/>
                  <w:color w:val="0000FF"/>
                  <w:u w:val="single"/>
                </w:rPr>
                <w:t>&gt;&gt; Детальніше про зміни</w:t>
              </w:r>
            </w:hyperlink>
          </w:p>
        </w:tc>
        <w:tc>
          <w:tcPr>
            <w:tcW w:w="1818" w:type="dxa"/>
            <w:tcBorders>
              <w:top w:val="outset" w:sz="6" w:space="0" w:color="auto"/>
              <w:left w:val="outset" w:sz="6" w:space="0" w:color="auto"/>
              <w:bottom w:val="outset" w:sz="6" w:space="0" w:color="auto"/>
              <w:right w:val="outset" w:sz="6" w:space="0" w:color="auto"/>
            </w:tcBorders>
            <w:hideMark/>
          </w:tcPr>
          <w:p w14:paraId="4586B12A" w14:textId="77777777" w:rsidR="00000000" w:rsidRDefault="00000000">
            <w:pPr>
              <w:pStyle w:val="anchor"/>
            </w:pPr>
            <w:r>
              <w:t>Розпорядження АМКУ «Про затвердження Порядку проведення перевірки суб’єктів господарювання, об’єднань, органів влади, органів місцевого самоврядування, органів адміністративно-господарського управління та контролю Антимонопольним комітетом України, його територіальними відділеннями» від 07.12.2023  № 21-рп</w:t>
            </w:r>
          </w:p>
        </w:tc>
      </w:tr>
      <w:tr w:rsidR="00000000" w14:paraId="4013FDDF" w14:textId="77777777">
        <w:trPr>
          <w:divId w:val="1414009360"/>
          <w:trHeight w:val="152"/>
          <w:tblCellSpacing w:w="0" w:type="dxa"/>
        </w:trPr>
        <w:tc>
          <w:tcPr>
            <w:tcW w:w="1592" w:type="dxa"/>
            <w:tcBorders>
              <w:top w:val="outset" w:sz="6" w:space="0" w:color="auto"/>
              <w:left w:val="outset" w:sz="6" w:space="0" w:color="auto"/>
              <w:bottom w:val="outset" w:sz="6" w:space="0" w:color="auto"/>
              <w:right w:val="outset" w:sz="6" w:space="0" w:color="auto"/>
            </w:tcBorders>
            <w:hideMark/>
          </w:tcPr>
          <w:p w14:paraId="5F07F9B8" w14:textId="77777777" w:rsidR="00000000" w:rsidRDefault="00000000">
            <w:pPr>
              <w:pStyle w:val="anchor"/>
            </w:pPr>
            <w:r>
              <w:t>06.02.2024</w:t>
            </w:r>
          </w:p>
        </w:tc>
        <w:tc>
          <w:tcPr>
            <w:tcW w:w="5206" w:type="dxa"/>
            <w:tcBorders>
              <w:top w:val="outset" w:sz="6" w:space="0" w:color="auto"/>
              <w:left w:val="outset" w:sz="6" w:space="0" w:color="auto"/>
              <w:bottom w:val="outset" w:sz="6" w:space="0" w:color="auto"/>
              <w:right w:val="outset" w:sz="6" w:space="0" w:color="auto"/>
            </w:tcBorders>
            <w:hideMark/>
          </w:tcPr>
          <w:p w14:paraId="5003E6A1" w14:textId="77777777" w:rsidR="00000000" w:rsidRDefault="00000000">
            <w:pPr>
              <w:pStyle w:val="anchor"/>
            </w:pPr>
            <w:r>
              <w:rPr>
                <w:b/>
                <w:bCs/>
              </w:rPr>
              <w:t>Оновили набори даних, які підлягають оприлюдненню у формі відкритих даних</w:t>
            </w:r>
          </w:p>
          <w:p w14:paraId="40B37FB6" w14:textId="77777777" w:rsidR="00000000" w:rsidRDefault="00000000">
            <w:pPr>
              <w:pStyle w:val="anchor"/>
            </w:pPr>
            <w:r>
              <w:t>КМУ вніс зміни у додаток до Положення про набори даних, які підлягають оприлюдненню у формі відкритих даних, затвердженого постановою КМУ від 21.10.2015 № 835 (далі — Положення).</w:t>
            </w:r>
          </w:p>
          <w:p w14:paraId="41373F0F" w14:textId="77777777" w:rsidR="00000000" w:rsidRDefault="00000000">
            <w:pPr>
              <w:pStyle w:val="anchor"/>
            </w:pPr>
            <w:r>
              <w:lastRenderedPageBreak/>
              <w:t>Оновили редакцію розділу, що визначає набори даних Держпраці, у додатку до Положення.</w:t>
            </w:r>
          </w:p>
          <w:p w14:paraId="7F7B0966" w14:textId="77777777" w:rsidR="00000000" w:rsidRDefault="00000000">
            <w:pPr>
              <w:pStyle w:val="anchor"/>
            </w:pPr>
            <w:r>
              <w:t>Тож тепер Держпраці на своєму офіційному вебсайті оприлюднюватиме у формі відкритих даних, зокрема:</w:t>
            </w:r>
          </w:p>
          <w:p w14:paraId="2E247DED" w14:textId="77777777" w:rsidR="00000000" w:rsidRDefault="00000000">
            <w:pPr>
              <w:pStyle w:val="listitem"/>
              <w:numPr>
                <w:ilvl w:val="0"/>
                <w:numId w:val="24"/>
              </w:numPr>
              <w:rPr>
                <w:rFonts w:eastAsia="Times New Roman"/>
              </w:rPr>
            </w:pPr>
            <w:r>
              <w:rPr>
                <w:rFonts w:eastAsia="Times New Roman"/>
              </w:rPr>
              <w:t>Базу даних осіб, що пройшли підготовку та перевірку знань на експертів, які проводять технічний огляд та/або експертне обстеження, а також щодо проходження такими особами періодичного підвищення кваліфікації;</w:t>
            </w:r>
          </w:p>
          <w:p w14:paraId="48FFA7EB" w14:textId="77777777" w:rsidR="00000000" w:rsidRDefault="00000000">
            <w:pPr>
              <w:pStyle w:val="listitem"/>
              <w:numPr>
                <w:ilvl w:val="0"/>
                <w:numId w:val="24"/>
              </w:numPr>
              <w:rPr>
                <w:rFonts w:eastAsia="Times New Roman"/>
              </w:rPr>
            </w:pPr>
            <w:r>
              <w:rPr>
                <w:rFonts w:eastAsia="Times New Roman"/>
              </w:rPr>
              <w:t>Перелік суб’єктів господарювання, що мають ліцензію на виробництво вибухових матеріалів промислового призначення;</w:t>
            </w:r>
          </w:p>
          <w:p w14:paraId="12D9AC67" w14:textId="77777777" w:rsidR="00000000" w:rsidRDefault="00000000">
            <w:pPr>
              <w:pStyle w:val="listitem"/>
              <w:numPr>
                <w:ilvl w:val="0"/>
                <w:numId w:val="24"/>
              </w:numPr>
              <w:rPr>
                <w:rFonts w:eastAsia="Times New Roman"/>
              </w:rPr>
            </w:pPr>
            <w:r>
              <w:rPr>
                <w:rFonts w:eastAsia="Times New Roman"/>
              </w:rPr>
              <w:t>Реєстр декларацій відповідності матеріально-технічної бази вимогам законодавства з питань охорони праці;</w:t>
            </w:r>
          </w:p>
          <w:p w14:paraId="43B7B094" w14:textId="77777777" w:rsidR="00000000" w:rsidRDefault="00000000">
            <w:pPr>
              <w:pStyle w:val="listitem"/>
              <w:numPr>
                <w:ilvl w:val="0"/>
                <w:numId w:val="24"/>
              </w:numPr>
              <w:rPr>
                <w:rFonts w:eastAsia="Times New Roman"/>
              </w:rPr>
            </w:pPr>
            <w:r>
              <w:rPr>
                <w:rFonts w:eastAsia="Times New Roman"/>
              </w:rPr>
              <w:t>Реєстр дозволів на виконання робіт підвищеної небезпеки та експлуатацію (застосування) машин, механізмів, устаткування підвищеної небезпеки</w:t>
            </w:r>
          </w:p>
        </w:tc>
        <w:tc>
          <w:tcPr>
            <w:tcW w:w="1818" w:type="dxa"/>
            <w:tcBorders>
              <w:top w:val="outset" w:sz="6" w:space="0" w:color="auto"/>
              <w:left w:val="outset" w:sz="6" w:space="0" w:color="auto"/>
              <w:bottom w:val="outset" w:sz="6" w:space="0" w:color="auto"/>
              <w:right w:val="outset" w:sz="6" w:space="0" w:color="auto"/>
            </w:tcBorders>
            <w:hideMark/>
          </w:tcPr>
          <w:p w14:paraId="78FDEA57" w14:textId="77777777" w:rsidR="00000000" w:rsidRDefault="00000000">
            <w:pPr>
              <w:pStyle w:val="anchor"/>
            </w:pPr>
            <w:r>
              <w:lastRenderedPageBreak/>
              <w:t xml:space="preserve">Постанова КМУ «Про внесення зміни у додаток до Положення про набори даних, які підлягають оприлюдненню у формі відкритих </w:t>
            </w:r>
            <w:r>
              <w:lastRenderedPageBreak/>
              <w:t>даних» від 30.01.2024 № 101</w:t>
            </w:r>
          </w:p>
        </w:tc>
      </w:tr>
      <w:tr w:rsidR="00000000" w14:paraId="57279871" w14:textId="77777777">
        <w:trPr>
          <w:divId w:val="1414009360"/>
          <w:trHeight w:val="152"/>
          <w:tblCellSpacing w:w="0" w:type="dxa"/>
        </w:trPr>
        <w:tc>
          <w:tcPr>
            <w:tcW w:w="1592" w:type="dxa"/>
            <w:tcBorders>
              <w:top w:val="outset" w:sz="6" w:space="0" w:color="auto"/>
              <w:left w:val="outset" w:sz="6" w:space="0" w:color="auto"/>
              <w:bottom w:val="outset" w:sz="6" w:space="0" w:color="auto"/>
              <w:right w:val="outset" w:sz="6" w:space="0" w:color="auto"/>
            </w:tcBorders>
            <w:hideMark/>
          </w:tcPr>
          <w:p w14:paraId="59FF2E00" w14:textId="77777777" w:rsidR="00000000" w:rsidRDefault="00000000">
            <w:pPr>
              <w:pStyle w:val="anchor"/>
            </w:pPr>
            <w:r>
              <w:lastRenderedPageBreak/>
              <w:t>02.02.2024</w:t>
            </w:r>
          </w:p>
        </w:tc>
        <w:tc>
          <w:tcPr>
            <w:tcW w:w="5206" w:type="dxa"/>
            <w:tcBorders>
              <w:top w:val="outset" w:sz="6" w:space="0" w:color="auto"/>
              <w:left w:val="outset" w:sz="6" w:space="0" w:color="auto"/>
              <w:bottom w:val="outset" w:sz="6" w:space="0" w:color="auto"/>
              <w:right w:val="outset" w:sz="6" w:space="0" w:color="auto"/>
            </w:tcBorders>
            <w:hideMark/>
          </w:tcPr>
          <w:p w14:paraId="2D94959C" w14:textId="77777777" w:rsidR="00000000" w:rsidRDefault="00000000">
            <w:pPr>
              <w:pStyle w:val="anchor"/>
            </w:pPr>
            <w:r>
              <w:rPr>
                <w:b/>
                <w:bCs/>
              </w:rPr>
              <w:t>Затвердили Стратегію реформування системи публічних закупівель до 2026 року</w:t>
            </w:r>
          </w:p>
          <w:p w14:paraId="383C52D2" w14:textId="77777777" w:rsidR="00000000" w:rsidRDefault="00000000">
            <w:pPr>
              <w:pStyle w:val="anchor"/>
            </w:pPr>
            <w:r>
              <w:t>КМУ схвалив Стратегію реформування системи публічних закупівель на 2024—2026 роки (далі — Стратегія) та затвердив операційний план її реалізації у 2024—2025 роках.</w:t>
            </w:r>
          </w:p>
          <w:p w14:paraId="7D421143" w14:textId="77777777" w:rsidR="00000000" w:rsidRDefault="00000000">
            <w:pPr>
              <w:pStyle w:val="anchor"/>
            </w:pPr>
            <w:r>
              <w:t>Стратегію розробили, щоб:</w:t>
            </w:r>
          </w:p>
          <w:p w14:paraId="6A9D2269" w14:textId="77777777" w:rsidR="00000000" w:rsidRDefault="00000000">
            <w:pPr>
              <w:pStyle w:val="listitem"/>
              <w:numPr>
                <w:ilvl w:val="0"/>
                <w:numId w:val="26"/>
              </w:numPr>
              <w:rPr>
                <w:rFonts w:eastAsia="Times New Roman"/>
              </w:rPr>
            </w:pPr>
            <w:r>
              <w:rPr>
                <w:rFonts w:eastAsia="Times New Roman"/>
              </w:rPr>
              <w:t>надалі розвивати й удосконалювати систему публічних закупівель з урахуванням потреби відновлення/відбудови країни, що пов’язана з повномасштабним збройним вторгненням російської федерації;</w:t>
            </w:r>
          </w:p>
          <w:p w14:paraId="293E05B7" w14:textId="77777777" w:rsidR="00000000" w:rsidRDefault="00000000">
            <w:pPr>
              <w:pStyle w:val="listitem"/>
              <w:numPr>
                <w:ilvl w:val="0"/>
                <w:numId w:val="26"/>
              </w:numPr>
              <w:rPr>
                <w:rFonts w:eastAsia="Times New Roman"/>
              </w:rPr>
            </w:pPr>
            <w:r>
              <w:rPr>
                <w:rFonts w:eastAsia="Times New Roman"/>
              </w:rPr>
              <w:t>проводити ефективні публічні закупівлі, розвивати конкурентне середовище;</w:t>
            </w:r>
          </w:p>
          <w:p w14:paraId="4B6E02B7" w14:textId="77777777" w:rsidR="00000000" w:rsidRDefault="00000000">
            <w:pPr>
              <w:pStyle w:val="listitem"/>
              <w:numPr>
                <w:ilvl w:val="0"/>
                <w:numId w:val="26"/>
              </w:numPr>
              <w:rPr>
                <w:rFonts w:eastAsia="Times New Roman"/>
              </w:rPr>
            </w:pPr>
            <w:r>
              <w:rPr>
                <w:rFonts w:eastAsia="Times New Roman"/>
              </w:rPr>
              <w:t>забезпечити виконання міжнародних зобов’язань України у сфері публічних закупівель та послідовну адаптацію законодавства України до стандартів ЄС протягом 2024—2026 років</w:t>
            </w:r>
          </w:p>
          <w:p w14:paraId="566AFA06" w14:textId="77777777" w:rsidR="00000000" w:rsidRDefault="00000000">
            <w:pPr>
              <w:pStyle w:val="anchor"/>
            </w:pPr>
            <w:r>
              <w:rPr>
                <w:rStyle w:val="a6"/>
              </w:rPr>
              <w:t xml:space="preserve">&gt;&gt; Читайте </w:t>
            </w:r>
            <w:hyperlink r:id="rId19" w:tgtFrame="_blank" w:history="1">
              <w:r>
                <w:rPr>
                  <w:rStyle w:val="a3"/>
                  <w:b/>
                  <w:bCs/>
                </w:rPr>
                <w:t>детальніше про Стратегію</w:t>
              </w:r>
            </w:hyperlink>
          </w:p>
        </w:tc>
        <w:tc>
          <w:tcPr>
            <w:tcW w:w="1818" w:type="dxa"/>
            <w:tcBorders>
              <w:top w:val="outset" w:sz="6" w:space="0" w:color="auto"/>
              <w:left w:val="outset" w:sz="6" w:space="0" w:color="auto"/>
              <w:bottom w:val="outset" w:sz="6" w:space="0" w:color="auto"/>
              <w:right w:val="outset" w:sz="6" w:space="0" w:color="auto"/>
            </w:tcBorders>
            <w:hideMark/>
          </w:tcPr>
          <w:p w14:paraId="6106A653" w14:textId="77777777" w:rsidR="00000000" w:rsidRDefault="00000000">
            <w:pPr>
              <w:pStyle w:val="anchor"/>
            </w:pPr>
            <w:r>
              <w:t>Розпорядження КМУ «Про схвалення Стратегії реформування системи публічних закупівель на 2024—2026 роки та затвердження операційного плану її реалізації у 2024—2025 роках» від 02.02.2024 № 76-р</w:t>
            </w:r>
          </w:p>
        </w:tc>
      </w:tr>
      <w:tr w:rsidR="00000000" w14:paraId="782E94C1" w14:textId="77777777">
        <w:trPr>
          <w:divId w:val="1414009360"/>
          <w:trHeight w:val="152"/>
          <w:tblCellSpacing w:w="0" w:type="dxa"/>
        </w:trPr>
        <w:tc>
          <w:tcPr>
            <w:tcW w:w="1592" w:type="dxa"/>
            <w:tcBorders>
              <w:top w:val="outset" w:sz="6" w:space="0" w:color="auto"/>
              <w:left w:val="outset" w:sz="6" w:space="0" w:color="auto"/>
              <w:bottom w:val="outset" w:sz="6" w:space="0" w:color="auto"/>
              <w:right w:val="outset" w:sz="6" w:space="0" w:color="auto"/>
            </w:tcBorders>
            <w:hideMark/>
          </w:tcPr>
          <w:p w14:paraId="250FFC2C" w14:textId="77777777" w:rsidR="00000000" w:rsidRDefault="00000000">
            <w:pPr>
              <w:pStyle w:val="anchor"/>
            </w:pPr>
            <w:r>
              <w:t>02.02.2024</w:t>
            </w:r>
          </w:p>
        </w:tc>
        <w:tc>
          <w:tcPr>
            <w:tcW w:w="5206" w:type="dxa"/>
            <w:tcBorders>
              <w:top w:val="outset" w:sz="6" w:space="0" w:color="auto"/>
              <w:left w:val="outset" w:sz="6" w:space="0" w:color="auto"/>
              <w:bottom w:val="outset" w:sz="6" w:space="0" w:color="auto"/>
              <w:right w:val="outset" w:sz="6" w:space="0" w:color="auto"/>
            </w:tcBorders>
            <w:hideMark/>
          </w:tcPr>
          <w:p w14:paraId="7149E4A5" w14:textId="77777777" w:rsidR="00000000" w:rsidRDefault="00000000">
            <w:pPr>
              <w:pStyle w:val="anchor"/>
            </w:pPr>
            <w:r>
              <w:rPr>
                <w:b/>
                <w:bCs/>
              </w:rPr>
              <w:t>Відновили дію деяких ДСТУ на період дії воєнного стану</w:t>
            </w:r>
          </w:p>
          <w:p w14:paraId="3AD584C7" w14:textId="77777777" w:rsidR="00000000" w:rsidRDefault="00000000">
            <w:pPr>
              <w:pStyle w:val="anchor"/>
            </w:pPr>
            <w:r>
              <w:lastRenderedPageBreak/>
              <w:t>Відповідно до наказу ДП «УкрНДНЦ» від 01.02.2024 № 41 відновлено дію національних стандартів з 02 лютого 2024 року на період дії воєнного стану та протягом 180 днів після його припинення або скасування.</w:t>
            </w:r>
          </w:p>
          <w:p w14:paraId="2C53A36E" w14:textId="77777777" w:rsidR="00000000" w:rsidRDefault="00000000">
            <w:pPr>
              <w:pStyle w:val="anchor"/>
            </w:pPr>
            <w:r>
              <w:t>Перегляньте перелік відновлених ДСТУ https://dz.expertus.com.ua/recommendations/30060</w:t>
            </w:r>
          </w:p>
        </w:tc>
        <w:tc>
          <w:tcPr>
            <w:tcW w:w="1818" w:type="dxa"/>
            <w:tcBorders>
              <w:top w:val="outset" w:sz="6" w:space="0" w:color="auto"/>
              <w:left w:val="outset" w:sz="6" w:space="0" w:color="auto"/>
              <w:bottom w:val="outset" w:sz="6" w:space="0" w:color="auto"/>
              <w:right w:val="outset" w:sz="6" w:space="0" w:color="auto"/>
            </w:tcBorders>
            <w:hideMark/>
          </w:tcPr>
          <w:p w14:paraId="1FB18456" w14:textId="77777777" w:rsidR="00000000" w:rsidRDefault="00000000">
            <w:pPr>
              <w:pStyle w:val="anchor"/>
            </w:pPr>
            <w:r>
              <w:lastRenderedPageBreak/>
              <w:t> </w:t>
            </w:r>
          </w:p>
        </w:tc>
      </w:tr>
    </w:tbl>
    <w:p w14:paraId="2E0DB530" w14:textId="77777777" w:rsidR="00000000" w:rsidRDefault="00000000">
      <w:pPr>
        <w:pStyle w:val="a5"/>
        <w:rPr>
          <w:rFonts w:eastAsia="Times New Roman"/>
        </w:rPr>
      </w:pPr>
      <w:r>
        <w:t> </w:t>
      </w:r>
    </w:p>
    <w:p w14:paraId="5EECBCB1" w14:textId="77777777" w:rsidR="0022218F" w:rsidRDefault="0022218F">
      <w:pPr>
        <w:divId w:val="205945054"/>
        <w:rPr>
          <w:rFonts w:eastAsia="Times New Roman"/>
        </w:rPr>
      </w:pPr>
    </w:p>
    <w:sectPr w:rsidR="002221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3CE"/>
    <w:multiLevelType w:val="multilevel"/>
    <w:tmpl w:val="03760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71CFD"/>
    <w:multiLevelType w:val="multilevel"/>
    <w:tmpl w:val="9378E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72AF3"/>
    <w:multiLevelType w:val="multilevel"/>
    <w:tmpl w:val="EACC2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50371"/>
    <w:multiLevelType w:val="multilevel"/>
    <w:tmpl w:val="47AE6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B8327A"/>
    <w:multiLevelType w:val="multilevel"/>
    <w:tmpl w:val="66789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68789D"/>
    <w:multiLevelType w:val="multilevel"/>
    <w:tmpl w:val="E8FCC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4E71CD"/>
    <w:multiLevelType w:val="multilevel"/>
    <w:tmpl w:val="0C0ED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3A242D"/>
    <w:multiLevelType w:val="multilevel"/>
    <w:tmpl w:val="3886C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444978"/>
    <w:multiLevelType w:val="multilevel"/>
    <w:tmpl w:val="70D4D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C939CC"/>
    <w:multiLevelType w:val="multilevel"/>
    <w:tmpl w:val="FEEAF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F73E3A"/>
    <w:multiLevelType w:val="multilevel"/>
    <w:tmpl w:val="FCEA3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7730A0"/>
    <w:multiLevelType w:val="multilevel"/>
    <w:tmpl w:val="6694D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AF4087"/>
    <w:multiLevelType w:val="multilevel"/>
    <w:tmpl w:val="8F589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71563131">
    <w:abstractNumId w:val="11"/>
  </w:num>
  <w:num w:numId="2" w16cid:durableId="1542938969">
    <w:abstractNumId w:val="11"/>
    <w:lvlOverride w:ilvl="0"/>
    <w:lvlOverride w:ilvl="1"/>
    <w:lvlOverride w:ilvl="2"/>
    <w:lvlOverride w:ilvl="3"/>
    <w:lvlOverride w:ilvl="4"/>
    <w:lvlOverride w:ilvl="5"/>
    <w:lvlOverride w:ilvl="6"/>
    <w:lvlOverride w:ilvl="7"/>
    <w:lvlOverride w:ilvl="8"/>
  </w:num>
  <w:num w:numId="3" w16cid:durableId="839469650">
    <w:abstractNumId w:val="3"/>
  </w:num>
  <w:num w:numId="4" w16cid:durableId="1696733611">
    <w:abstractNumId w:val="3"/>
    <w:lvlOverride w:ilvl="0"/>
    <w:lvlOverride w:ilvl="1"/>
    <w:lvlOverride w:ilvl="2"/>
    <w:lvlOverride w:ilvl="3"/>
    <w:lvlOverride w:ilvl="4"/>
    <w:lvlOverride w:ilvl="5"/>
    <w:lvlOverride w:ilvl="6"/>
    <w:lvlOverride w:ilvl="7"/>
    <w:lvlOverride w:ilvl="8"/>
  </w:num>
  <w:num w:numId="5" w16cid:durableId="55133269">
    <w:abstractNumId w:val="10"/>
  </w:num>
  <w:num w:numId="6" w16cid:durableId="861285899">
    <w:abstractNumId w:val="10"/>
    <w:lvlOverride w:ilvl="0"/>
    <w:lvlOverride w:ilvl="1"/>
    <w:lvlOverride w:ilvl="2"/>
    <w:lvlOverride w:ilvl="3"/>
    <w:lvlOverride w:ilvl="4"/>
    <w:lvlOverride w:ilvl="5"/>
    <w:lvlOverride w:ilvl="6"/>
    <w:lvlOverride w:ilvl="7"/>
    <w:lvlOverride w:ilvl="8"/>
  </w:num>
  <w:num w:numId="7" w16cid:durableId="21707455">
    <w:abstractNumId w:val="9"/>
  </w:num>
  <w:num w:numId="8" w16cid:durableId="13383297">
    <w:abstractNumId w:val="9"/>
    <w:lvlOverride w:ilvl="0"/>
    <w:lvlOverride w:ilvl="1"/>
    <w:lvlOverride w:ilvl="2"/>
    <w:lvlOverride w:ilvl="3"/>
    <w:lvlOverride w:ilvl="4"/>
    <w:lvlOverride w:ilvl="5"/>
    <w:lvlOverride w:ilvl="6"/>
    <w:lvlOverride w:ilvl="7"/>
    <w:lvlOverride w:ilvl="8"/>
  </w:num>
  <w:num w:numId="9" w16cid:durableId="904533003">
    <w:abstractNumId w:val="7"/>
  </w:num>
  <w:num w:numId="10" w16cid:durableId="257830004">
    <w:abstractNumId w:val="7"/>
    <w:lvlOverride w:ilvl="0"/>
    <w:lvlOverride w:ilvl="1"/>
    <w:lvlOverride w:ilvl="2"/>
    <w:lvlOverride w:ilvl="3"/>
    <w:lvlOverride w:ilvl="4"/>
    <w:lvlOverride w:ilvl="5"/>
    <w:lvlOverride w:ilvl="6"/>
    <w:lvlOverride w:ilvl="7"/>
    <w:lvlOverride w:ilvl="8"/>
  </w:num>
  <w:num w:numId="11" w16cid:durableId="2005277754">
    <w:abstractNumId w:val="8"/>
  </w:num>
  <w:num w:numId="12" w16cid:durableId="265231189">
    <w:abstractNumId w:val="8"/>
    <w:lvlOverride w:ilvl="0"/>
    <w:lvlOverride w:ilvl="1"/>
    <w:lvlOverride w:ilvl="2"/>
    <w:lvlOverride w:ilvl="3"/>
    <w:lvlOverride w:ilvl="4"/>
    <w:lvlOverride w:ilvl="5"/>
    <w:lvlOverride w:ilvl="6"/>
    <w:lvlOverride w:ilvl="7"/>
    <w:lvlOverride w:ilvl="8"/>
  </w:num>
  <w:num w:numId="13" w16cid:durableId="992178478">
    <w:abstractNumId w:val="2"/>
  </w:num>
  <w:num w:numId="14" w16cid:durableId="1064908144">
    <w:abstractNumId w:val="2"/>
    <w:lvlOverride w:ilvl="0"/>
    <w:lvlOverride w:ilvl="1"/>
    <w:lvlOverride w:ilvl="2"/>
    <w:lvlOverride w:ilvl="3"/>
    <w:lvlOverride w:ilvl="4"/>
    <w:lvlOverride w:ilvl="5"/>
    <w:lvlOverride w:ilvl="6"/>
    <w:lvlOverride w:ilvl="7"/>
    <w:lvlOverride w:ilvl="8"/>
  </w:num>
  <w:num w:numId="15" w16cid:durableId="728112635">
    <w:abstractNumId w:val="1"/>
  </w:num>
  <w:num w:numId="16" w16cid:durableId="1642298123">
    <w:abstractNumId w:val="1"/>
    <w:lvlOverride w:ilvl="0"/>
    <w:lvlOverride w:ilvl="1"/>
    <w:lvlOverride w:ilvl="2"/>
    <w:lvlOverride w:ilvl="3"/>
    <w:lvlOverride w:ilvl="4"/>
    <w:lvlOverride w:ilvl="5"/>
    <w:lvlOverride w:ilvl="6"/>
    <w:lvlOverride w:ilvl="7"/>
    <w:lvlOverride w:ilvl="8"/>
  </w:num>
  <w:num w:numId="17" w16cid:durableId="184103961">
    <w:abstractNumId w:val="0"/>
  </w:num>
  <w:num w:numId="18" w16cid:durableId="1351644686">
    <w:abstractNumId w:val="0"/>
    <w:lvlOverride w:ilvl="0"/>
    <w:lvlOverride w:ilvl="1"/>
    <w:lvlOverride w:ilvl="2"/>
    <w:lvlOverride w:ilvl="3"/>
    <w:lvlOverride w:ilvl="4"/>
    <w:lvlOverride w:ilvl="5"/>
    <w:lvlOverride w:ilvl="6"/>
    <w:lvlOverride w:ilvl="7"/>
    <w:lvlOverride w:ilvl="8"/>
  </w:num>
  <w:num w:numId="19" w16cid:durableId="317273520">
    <w:abstractNumId w:val="12"/>
  </w:num>
  <w:num w:numId="20" w16cid:durableId="1765877191">
    <w:abstractNumId w:val="12"/>
    <w:lvlOverride w:ilvl="0"/>
    <w:lvlOverride w:ilvl="1"/>
    <w:lvlOverride w:ilvl="2"/>
    <w:lvlOverride w:ilvl="3"/>
    <w:lvlOverride w:ilvl="4"/>
    <w:lvlOverride w:ilvl="5"/>
    <w:lvlOverride w:ilvl="6"/>
    <w:lvlOverride w:ilvl="7"/>
    <w:lvlOverride w:ilvl="8"/>
  </w:num>
  <w:num w:numId="21" w16cid:durableId="1998873547">
    <w:abstractNumId w:val="4"/>
  </w:num>
  <w:num w:numId="22" w16cid:durableId="542257873">
    <w:abstractNumId w:val="4"/>
    <w:lvlOverride w:ilvl="0"/>
    <w:lvlOverride w:ilvl="1"/>
    <w:lvlOverride w:ilvl="2"/>
    <w:lvlOverride w:ilvl="3"/>
    <w:lvlOverride w:ilvl="4"/>
    <w:lvlOverride w:ilvl="5"/>
    <w:lvlOverride w:ilvl="6"/>
    <w:lvlOverride w:ilvl="7"/>
    <w:lvlOverride w:ilvl="8"/>
  </w:num>
  <w:num w:numId="23" w16cid:durableId="898976032">
    <w:abstractNumId w:val="5"/>
  </w:num>
  <w:num w:numId="24" w16cid:durableId="355041090">
    <w:abstractNumId w:val="5"/>
    <w:lvlOverride w:ilvl="0"/>
    <w:lvlOverride w:ilvl="1"/>
    <w:lvlOverride w:ilvl="2"/>
    <w:lvlOverride w:ilvl="3"/>
    <w:lvlOverride w:ilvl="4"/>
    <w:lvlOverride w:ilvl="5"/>
    <w:lvlOverride w:ilvl="6"/>
    <w:lvlOverride w:ilvl="7"/>
    <w:lvlOverride w:ilvl="8"/>
  </w:num>
  <w:num w:numId="25" w16cid:durableId="631717154">
    <w:abstractNumId w:val="6"/>
  </w:num>
  <w:num w:numId="26" w16cid:durableId="15039026">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B00B8"/>
    <w:rsid w:val="0022218F"/>
    <w:rsid w:val="00CB00B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886D0"/>
  <w15:chartTrackingRefBased/>
  <w15:docId w15:val="{F9ADB281-E9DB-4862-AEEC-A18E0A0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UA" w:eastAsia="ru-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a"/>
    <w:uiPriority w:val="99"/>
    <w:pPr>
      <w:spacing w:before="100" w:beforeAutospacing="1" w:after="100" w:afterAutospacing="1"/>
    </w:pPr>
  </w:style>
  <w:style w:type="paragraph" w:styleId="a5">
    <w:name w:val="Normal (Web)"/>
    <w:basedOn w:val="a"/>
    <w:uiPriority w:val="99"/>
    <w:semiHidden/>
    <w:unhideWhenUsed/>
    <w:pPr>
      <w:spacing w:before="100" w:beforeAutospacing="1" w:after="100" w:afterAutospacing="1"/>
    </w:pPr>
  </w:style>
  <w:style w:type="paragraph" w:customStyle="1" w:styleId="anchor">
    <w:name w:val="anchor"/>
    <w:basedOn w:val="a"/>
    <w:uiPriority w:val="99"/>
    <w:pPr>
      <w:spacing w:before="100" w:beforeAutospacing="1" w:after="100" w:afterAutospacing="1"/>
    </w:pPr>
  </w:style>
  <w:style w:type="paragraph" w:customStyle="1" w:styleId="listitem">
    <w:name w:val="list__item"/>
    <w:basedOn w:val="a"/>
    <w:uiPriority w:val="99"/>
    <w:pPr>
      <w:spacing w:before="100" w:beforeAutospacing="1" w:after="100" w:afterAutospacing="1"/>
    </w:pPr>
  </w:style>
  <w:style w:type="character" w:styleId="a6">
    <w:name w:val="Strong"/>
    <w:basedOn w:val="a0"/>
    <w:uiPriority w:val="22"/>
    <w:qFormat/>
    <w:rPr>
      <w:b/>
      <w:bCs/>
    </w:rPr>
  </w:style>
  <w:style w:type="character" w:styleId="a7">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5054">
      <w:marLeft w:val="0"/>
      <w:marRight w:val="0"/>
      <w:marTop w:val="0"/>
      <w:marBottom w:val="0"/>
      <w:divBdr>
        <w:top w:val="none" w:sz="0" w:space="0" w:color="auto"/>
        <w:left w:val="none" w:sz="0" w:space="0" w:color="auto"/>
        <w:bottom w:val="none" w:sz="0" w:space="0" w:color="auto"/>
        <w:right w:val="none" w:sz="0" w:space="0" w:color="auto"/>
      </w:divBdr>
    </w:div>
    <w:div w:id="141400936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expertus.com.ua/recommendations/26166" TargetMode="External"/><Relationship Id="rId13" Type="http://schemas.openxmlformats.org/officeDocument/2006/relationships/hyperlink" Target="https://dz.expertus.com.ua/law/24562" TargetMode="External"/><Relationship Id="rId18" Type="http://schemas.openxmlformats.org/officeDocument/2006/relationships/hyperlink" Target="https://dz.expertus.com.ua/recommendations/2983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z.expertus.com.ua/recommendations/27306" TargetMode="External"/><Relationship Id="rId12" Type="http://schemas.openxmlformats.org/officeDocument/2006/relationships/hyperlink" Target="https://dz.expertus.com.ua/recommendations/30202" TargetMode="External"/><Relationship Id="rId17" Type="http://schemas.openxmlformats.org/officeDocument/2006/relationships/hyperlink" Target="https://dz.expertus.com.ua/recommendations/29576" TargetMode="External"/><Relationship Id="rId2" Type="http://schemas.openxmlformats.org/officeDocument/2006/relationships/styles" Target="styles.xml"/><Relationship Id="rId16" Type="http://schemas.openxmlformats.org/officeDocument/2006/relationships/hyperlink" Target="https://dz.expertus.com.ua/recommendations/2962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z.expertus.com.ua/recommendations/28244" TargetMode="External"/><Relationship Id="rId11" Type="http://schemas.openxmlformats.org/officeDocument/2006/relationships/hyperlink" Target="https://dz.expertus.com.ua/catalogues/3822" TargetMode="External"/><Relationship Id="rId5" Type="http://schemas.openxmlformats.org/officeDocument/2006/relationships/hyperlink" Target="https://dz.expertus.com.ua/recommendations/29338" TargetMode="External"/><Relationship Id="rId15" Type="http://schemas.openxmlformats.org/officeDocument/2006/relationships/hyperlink" Target="https://dz.expertus.com.ua/recommendations/29774" TargetMode="External"/><Relationship Id="rId10" Type="http://schemas.openxmlformats.org/officeDocument/2006/relationships/hyperlink" Target="https://dz.expertus.com.ua/recommendations/30114" TargetMode="External"/><Relationship Id="rId19" Type="http://schemas.openxmlformats.org/officeDocument/2006/relationships/hyperlink" Target="https://dz.expertus.com.ua/recommendations/29420" TargetMode="External"/><Relationship Id="rId4" Type="http://schemas.openxmlformats.org/officeDocument/2006/relationships/webSettings" Target="webSettings.xml"/><Relationship Id="rId9" Type="http://schemas.openxmlformats.org/officeDocument/2006/relationships/hyperlink" Target="https://dz.expertus.com.ua/recommendations/29952" TargetMode="External"/><Relationship Id="rId14" Type="http://schemas.openxmlformats.org/officeDocument/2006/relationships/hyperlink" Target="https://dz.expertus.com.ua/recommendations/295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3004</Words>
  <Characters>17124</Characters>
  <Application>Microsoft Office Word</Application>
  <DocSecurity>0</DocSecurity>
  <Lines>142</Lines>
  <Paragraphs>40</Paragraphs>
  <ScaleCrop>false</ScaleCrop>
  <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HTML To Doc</dc:title>
  <dc:subject/>
  <dc:creator>Admin</dc:creator>
  <cp:keywords/>
  <dc:description/>
  <cp:lastModifiedBy>Admin</cp:lastModifiedBy>
  <cp:revision>2</cp:revision>
  <dcterms:created xsi:type="dcterms:W3CDTF">2024-03-01T08:28:00Z</dcterms:created>
  <dcterms:modified xsi:type="dcterms:W3CDTF">2024-03-01T08:28:00Z</dcterms:modified>
</cp:coreProperties>
</file>